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9D" w:rsidRPr="002C463A" w:rsidRDefault="0057139D" w:rsidP="0057139D">
      <w:pPr>
        <w:keepNext/>
        <w:keepLines/>
        <w:jc w:val="center"/>
        <w:outlineLvl w:val="0"/>
        <w:rPr>
          <w:rFonts w:ascii="Calibri" w:hAnsi="Calibri"/>
          <w:b/>
          <w:bCs/>
          <w:kern w:val="44"/>
          <w:sz w:val="40"/>
          <w:szCs w:val="44"/>
        </w:rPr>
      </w:pPr>
      <w:bookmarkStart w:id="0" w:name="_Toc464213393"/>
      <w:bookmarkStart w:id="1" w:name="_GoBack"/>
      <w:bookmarkEnd w:id="1"/>
      <w:r w:rsidRPr="002C463A">
        <w:rPr>
          <w:rFonts w:ascii="Calibri" w:hAnsi="Calibri" w:hint="eastAsia"/>
          <w:b/>
          <w:bCs/>
          <w:kern w:val="44"/>
          <w:sz w:val="40"/>
          <w:szCs w:val="44"/>
        </w:rPr>
        <w:t>关于临床药师培训基地招生学员条件的补充规定</w:t>
      </w:r>
      <w:bookmarkEnd w:id="0"/>
    </w:p>
    <w:p w:rsidR="0057139D" w:rsidRDefault="0057139D" w:rsidP="0057139D">
      <w:pPr>
        <w:rPr>
          <w:rFonts w:asciiTheme="minorEastAsia" w:hAnsiTheme="minorEastAsia" w:cstheme="minorEastAsia"/>
          <w:b/>
          <w:bCs/>
          <w:sz w:val="28"/>
          <w:szCs w:val="28"/>
        </w:rPr>
      </w:pPr>
    </w:p>
    <w:p w:rsidR="0057139D" w:rsidRPr="002C463A" w:rsidRDefault="0057139D" w:rsidP="0057139D">
      <w:pPr>
        <w:rPr>
          <w:rFonts w:asciiTheme="minorEastAsia" w:hAnsiTheme="minorEastAsia" w:cstheme="minorEastAsia"/>
          <w:b/>
          <w:bCs/>
          <w:sz w:val="28"/>
          <w:szCs w:val="28"/>
        </w:rPr>
      </w:pPr>
      <w:r w:rsidRPr="002C463A">
        <w:rPr>
          <w:rFonts w:asciiTheme="minorEastAsia" w:hAnsiTheme="minorEastAsia" w:cstheme="minorEastAsia" w:hint="eastAsia"/>
          <w:b/>
          <w:bCs/>
          <w:sz w:val="28"/>
          <w:szCs w:val="28"/>
        </w:rPr>
        <w:t>各省（区、市）临床药师培训基地：</w:t>
      </w:r>
    </w:p>
    <w:p w:rsidR="0057139D" w:rsidRPr="002C463A" w:rsidRDefault="0057139D" w:rsidP="0099311A">
      <w:pPr>
        <w:spacing w:line="620" w:lineRule="exact"/>
        <w:ind w:firstLineChars="200" w:firstLine="560"/>
        <w:rPr>
          <w:rFonts w:ascii="宋体" w:hAnsi="宋体"/>
          <w:sz w:val="28"/>
          <w:szCs w:val="28"/>
        </w:rPr>
      </w:pPr>
      <w:r w:rsidRPr="002C463A">
        <w:rPr>
          <w:rFonts w:ascii="宋体" w:hAnsi="宋体" w:hint="eastAsia"/>
          <w:sz w:val="28"/>
          <w:szCs w:val="28"/>
        </w:rPr>
        <w:t>自2009年原卫生部临床药师培训试点工作总结时，对临床药师培训基地的招生学员学历条件就进行了明确规定，应为：高等医药院校药学院系临床药学专业或者药学专业全日制本科毕业及以上学历。此后，在有关临床药师培训文件中都有相同规定。但随着临床药师培训规模的不断扩大，在招生工作中遇到了问题与困难，比较集中的问题是：一方面我国高等院校药学教育专业设置复杂；另一方面，医院药学界对在医疗机构从事药学专业技术服务工作药师的专业、学历及毕业学校没有统一规定，且各医院招聘药师时的条件也存在较大差异，造成医院药师队伍的学历背景复杂。规范医院药师高校毕业学历背景、提高从事临床药物治疗工作实践能力，有利于医院药师队伍的健康成长和学科建设。考虑到目前我国高等药学教育和医院药学专业技术人才队伍的实际情况，拟对报名参加临床药师培训药师的学历条件规定设置一个过渡期，为此，中国医院协会临床药师工作</w:t>
      </w:r>
      <w:r w:rsidRPr="002C463A">
        <w:rPr>
          <w:rFonts w:asciiTheme="majorEastAsia" w:eastAsiaTheme="majorEastAsia" w:hAnsiTheme="majorEastAsia" w:cstheme="majorEastAsia" w:hint="eastAsia"/>
          <w:bCs/>
          <w:sz w:val="28"/>
          <w:szCs w:val="28"/>
        </w:rPr>
        <w:t>专家委员会和药事管理专业委员会在全国范围内</w:t>
      </w:r>
      <w:r w:rsidRPr="002C463A">
        <w:rPr>
          <w:rFonts w:ascii="宋体" w:hAnsi="宋体" w:hint="eastAsia"/>
          <w:sz w:val="28"/>
          <w:szCs w:val="28"/>
        </w:rPr>
        <w:t>进行了调研和讨论，并在广泛征求各临床药师培训基地和医疗机构药学部门意见的基础上，制定了本《临床药师培训基地招生学员条件的补充规定》，请各临床药师培训基地认真执行。</w:t>
      </w:r>
    </w:p>
    <w:p w:rsidR="0057139D" w:rsidRPr="002C463A" w:rsidRDefault="0057139D" w:rsidP="0099311A">
      <w:pPr>
        <w:adjustRightInd w:val="0"/>
        <w:snapToGrid w:val="0"/>
        <w:spacing w:line="620" w:lineRule="exact"/>
        <w:ind w:firstLineChars="200" w:firstLine="560"/>
        <w:rPr>
          <w:rFonts w:ascii="宋体" w:hAnsi="宋体"/>
          <w:sz w:val="28"/>
          <w:szCs w:val="28"/>
        </w:rPr>
      </w:pPr>
      <w:r w:rsidRPr="002C463A">
        <w:rPr>
          <w:rFonts w:ascii="宋体" w:hAnsi="宋体" w:hint="eastAsia"/>
          <w:sz w:val="28"/>
          <w:szCs w:val="28"/>
        </w:rPr>
        <w:t>一、《国家临床药师培训基地管理细则》关于“学员应具备的基本条件”规定：报名参加临床药师培训的学员应是“高等医药院校药学院系”毕业，系指报名学员接受学历教育的学校应是国家承认其学历的“高等医药院校或者综合大学药学院系”。</w:t>
      </w:r>
    </w:p>
    <w:p w:rsidR="0057139D" w:rsidRPr="002C463A" w:rsidRDefault="0057139D" w:rsidP="0099311A">
      <w:pPr>
        <w:spacing w:line="360" w:lineRule="auto"/>
        <w:ind w:firstLineChars="200" w:firstLine="560"/>
        <w:rPr>
          <w:rFonts w:ascii="宋体" w:hAnsi="宋体"/>
          <w:sz w:val="28"/>
          <w:szCs w:val="28"/>
        </w:rPr>
      </w:pPr>
      <w:r w:rsidRPr="002C463A">
        <w:rPr>
          <w:rFonts w:ascii="宋体" w:hAnsi="宋体" w:hint="eastAsia"/>
          <w:sz w:val="28"/>
          <w:szCs w:val="28"/>
        </w:rPr>
        <w:t>二、关于“学员应具备的基本条件”规定，报名学员应具有“临床药学专业</w:t>
      </w:r>
      <w:r w:rsidRPr="002C463A">
        <w:rPr>
          <w:rFonts w:ascii="宋体" w:hAnsi="宋体" w:hint="eastAsia"/>
          <w:sz w:val="28"/>
          <w:szCs w:val="28"/>
        </w:rPr>
        <w:lastRenderedPageBreak/>
        <w:t>或者药学专业全日制本科毕业”学历教育，其专业应是：</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（一）临床药学专业，修业年限为5年，依据教育部印发《普通高等学校本科专业目录(2012年版)》专业代码分类为：100703TK。</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（二）药学专业系指药学类下列</w:t>
      </w:r>
      <w:r w:rsidRPr="002C463A">
        <w:rPr>
          <w:rFonts w:ascii="宋体" w:hAnsi="宋体"/>
          <w:sz w:val="28"/>
          <w:szCs w:val="28"/>
        </w:rPr>
        <w:t>4</w:t>
      </w:r>
      <w:r w:rsidRPr="002C463A">
        <w:rPr>
          <w:rFonts w:ascii="宋体" w:hAnsi="宋体" w:hint="eastAsia"/>
          <w:sz w:val="28"/>
          <w:szCs w:val="28"/>
        </w:rPr>
        <w:t>个专业本科毕业学历，修业年限为</w:t>
      </w:r>
      <w:r w:rsidRPr="002C463A">
        <w:rPr>
          <w:rFonts w:ascii="宋体" w:hAnsi="宋体"/>
          <w:sz w:val="28"/>
          <w:szCs w:val="28"/>
        </w:rPr>
        <w:t>4</w:t>
      </w:r>
      <w:r w:rsidRPr="002C463A">
        <w:rPr>
          <w:rFonts w:ascii="宋体" w:hAnsi="宋体" w:hint="eastAsia"/>
          <w:sz w:val="28"/>
          <w:szCs w:val="28"/>
        </w:rPr>
        <w:t>年，专业代码分类为：100701药学；100702药物制剂</w:t>
      </w:r>
      <w:r w:rsidRPr="002C463A">
        <w:rPr>
          <w:rFonts w:ascii="宋体" w:hAnsi="宋体"/>
          <w:sz w:val="28"/>
          <w:szCs w:val="28"/>
        </w:rPr>
        <w:t>；</w:t>
      </w:r>
      <w:r w:rsidRPr="002C463A">
        <w:rPr>
          <w:rFonts w:ascii="宋体" w:hAnsi="宋体" w:hint="eastAsia"/>
          <w:sz w:val="28"/>
          <w:szCs w:val="28"/>
        </w:rPr>
        <w:t>100705T药物分析</w:t>
      </w:r>
      <w:r w:rsidRPr="002C463A">
        <w:rPr>
          <w:rFonts w:ascii="宋体" w:hAnsi="宋体"/>
          <w:sz w:val="28"/>
          <w:szCs w:val="28"/>
        </w:rPr>
        <w:t>；</w:t>
      </w:r>
      <w:r w:rsidRPr="002C463A">
        <w:rPr>
          <w:rFonts w:ascii="宋体" w:hAnsi="宋体" w:hint="eastAsia"/>
          <w:sz w:val="28"/>
          <w:szCs w:val="28"/>
        </w:rPr>
        <w:t>100706T药物化学。</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三、第一学历为临床药学专业或者是药学、药物制剂、药物分析、药物化学专业的全日制本科毕业，或具有临床药学专业硕士及药理学、药剂学硕士、博士研究生毕业学历（均为全日制）背景的学员，招生审核时应掌握以下条件：</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（一）第一学历为临床药学专业本科毕业，在医院药学部门从事药剂工作满</w:t>
      </w:r>
      <w:r w:rsidRPr="002C463A">
        <w:rPr>
          <w:rFonts w:ascii="宋体" w:hAnsi="宋体"/>
          <w:sz w:val="28"/>
          <w:szCs w:val="28"/>
        </w:rPr>
        <w:t>1年</w:t>
      </w:r>
      <w:r w:rsidRPr="002C463A">
        <w:rPr>
          <w:rFonts w:ascii="宋体" w:hAnsi="宋体" w:hint="eastAsia"/>
          <w:sz w:val="28"/>
          <w:szCs w:val="28"/>
        </w:rPr>
        <w:t>者，可报名</w:t>
      </w:r>
      <w:r w:rsidRPr="002C463A">
        <w:rPr>
          <w:rFonts w:ascii="宋体" w:hAnsi="宋体"/>
          <w:sz w:val="28"/>
          <w:szCs w:val="28"/>
        </w:rPr>
        <w:t>参加</w:t>
      </w:r>
      <w:r w:rsidRPr="002C463A">
        <w:rPr>
          <w:rFonts w:ascii="宋体" w:hAnsi="宋体" w:hint="eastAsia"/>
          <w:sz w:val="28"/>
          <w:szCs w:val="28"/>
        </w:rPr>
        <w:t>通科或者专科临床药师培训；本科和研究生均为临床药学专业毕业的，在医院药学部门从事药剂工作满</w:t>
      </w:r>
      <w:r w:rsidRPr="002C463A">
        <w:rPr>
          <w:rFonts w:ascii="宋体" w:hAnsi="宋体"/>
          <w:sz w:val="28"/>
          <w:szCs w:val="28"/>
        </w:rPr>
        <w:t>6个月</w:t>
      </w:r>
      <w:r w:rsidRPr="002C463A">
        <w:rPr>
          <w:rFonts w:ascii="宋体" w:hAnsi="宋体" w:hint="eastAsia"/>
          <w:sz w:val="28"/>
          <w:szCs w:val="28"/>
        </w:rPr>
        <w:t>者，可报名</w:t>
      </w:r>
      <w:r w:rsidRPr="002C463A">
        <w:rPr>
          <w:rFonts w:ascii="宋体" w:hAnsi="宋体"/>
          <w:sz w:val="28"/>
          <w:szCs w:val="28"/>
        </w:rPr>
        <w:t>参加</w:t>
      </w:r>
      <w:r w:rsidRPr="002C463A">
        <w:rPr>
          <w:rFonts w:ascii="宋体" w:hAnsi="宋体" w:hint="eastAsia"/>
          <w:sz w:val="28"/>
          <w:szCs w:val="28"/>
        </w:rPr>
        <w:t>通科或者专科临床药师培训。</w:t>
      </w:r>
    </w:p>
    <w:p w:rsidR="0057139D" w:rsidRPr="002C463A" w:rsidRDefault="0057139D" w:rsidP="0057139D">
      <w:pPr>
        <w:ind w:firstLineChars="200" w:firstLine="560"/>
        <w:jc w:val="left"/>
        <w:rPr>
          <w:rFonts w:ascii="宋体" w:hAnsi="宋体"/>
          <w:sz w:val="28"/>
          <w:szCs w:val="28"/>
        </w:rPr>
      </w:pPr>
      <w:r w:rsidRPr="002C463A">
        <w:rPr>
          <w:rFonts w:ascii="宋体" w:hAnsi="宋体" w:hint="eastAsia"/>
          <w:sz w:val="28"/>
          <w:szCs w:val="28"/>
        </w:rPr>
        <w:t>（二）第一学历为药学、药物制剂、药物分析、药物化学专业全日制本科毕业，在医院药学部门从事药剂工作满2</w:t>
      </w:r>
      <w:r w:rsidRPr="002C463A">
        <w:rPr>
          <w:rFonts w:ascii="宋体" w:hAnsi="宋体"/>
          <w:sz w:val="28"/>
          <w:szCs w:val="28"/>
        </w:rPr>
        <w:t>年</w:t>
      </w:r>
      <w:r w:rsidRPr="002C463A">
        <w:rPr>
          <w:rFonts w:ascii="Arial" w:hAnsi="Arial" w:cs="Arial" w:hint="eastAsia"/>
          <w:sz w:val="28"/>
          <w:szCs w:val="28"/>
        </w:rPr>
        <w:t>的</w:t>
      </w:r>
      <w:r w:rsidRPr="002C463A">
        <w:rPr>
          <w:rFonts w:ascii="宋体" w:hAnsi="宋体" w:hint="eastAsia"/>
          <w:sz w:val="28"/>
          <w:szCs w:val="28"/>
        </w:rPr>
        <w:t>，可报名</w:t>
      </w:r>
      <w:r w:rsidRPr="002C463A">
        <w:rPr>
          <w:rFonts w:ascii="宋体" w:hAnsi="宋体"/>
          <w:sz w:val="28"/>
          <w:szCs w:val="28"/>
        </w:rPr>
        <w:t>参加</w:t>
      </w:r>
      <w:r w:rsidRPr="002C463A">
        <w:rPr>
          <w:rFonts w:ascii="宋体" w:hAnsi="宋体" w:hint="eastAsia"/>
          <w:sz w:val="28"/>
          <w:szCs w:val="28"/>
        </w:rPr>
        <w:t>通科或者专科临床药师培训；并获</w:t>
      </w:r>
      <w:r w:rsidRPr="002C463A">
        <w:rPr>
          <w:rFonts w:ascii="宋体" w:hAnsi="宋体"/>
          <w:sz w:val="28"/>
          <w:szCs w:val="28"/>
        </w:rPr>
        <w:t>得</w:t>
      </w:r>
      <w:r w:rsidRPr="002C463A">
        <w:rPr>
          <w:rFonts w:ascii="宋体" w:hAnsi="宋体" w:hint="eastAsia"/>
          <w:sz w:val="28"/>
          <w:szCs w:val="28"/>
        </w:rPr>
        <w:t>临床药学专业研究生毕业的，在医院药学部门从事药剂工作满</w:t>
      </w:r>
      <w:r w:rsidRPr="002C463A">
        <w:rPr>
          <w:rFonts w:ascii="宋体" w:hAnsi="宋体"/>
          <w:sz w:val="28"/>
          <w:szCs w:val="28"/>
        </w:rPr>
        <w:t>1年</w:t>
      </w:r>
      <w:r w:rsidRPr="002C463A">
        <w:rPr>
          <w:rFonts w:ascii="宋体" w:hAnsi="宋体" w:hint="eastAsia"/>
          <w:sz w:val="28"/>
          <w:szCs w:val="28"/>
        </w:rPr>
        <w:t>的，可报名</w:t>
      </w:r>
      <w:r w:rsidRPr="002C463A">
        <w:rPr>
          <w:rFonts w:ascii="宋体" w:hAnsi="宋体"/>
          <w:sz w:val="28"/>
          <w:szCs w:val="28"/>
        </w:rPr>
        <w:t>参加</w:t>
      </w:r>
      <w:r w:rsidRPr="002C463A">
        <w:rPr>
          <w:rFonts w:ascii="宋体" w:hAnsi="宋体" w:hint="eastAsia"/>
          <w:sz w:val="28"/>
          <w:szCs w:val="28"/>
        </w:rPr>
        <w:t>通科或者专科临床药师培训。</w:t>
      </w:r>
    </w:p>
    <w:p w:rsidR="0057139D" w:rsidRPr="002C463A" w:rsidRDefault="0057139D" w:rsidP="0057139D">
      <w:pPr>
        <w:ind w:firstLineChars="200" w:firstLine="560"/>
        <w:rPr>
          <w:rFonts w:ascii="宋体" w:hAnsi="宋体"/>
          <w:sz w:val="28"/>
          <w:szCs w:val="28"/>
        </w:rPr>
      </w:pPr>
      <w:r w:rsidRPr="002C463A">
        <w:rPr>
          <w:rFonts w:ascii="宋体" w:hAnsi="宋体"/>
          <w:sz w:val="28"/>
          <w:szCs w:val="28"/>
        </w:rPr>
        <w:t>（</w:t>
      </w:r>
      <w:r w:rsidRPr="002C463A">
        <w:rPr>
          <w:rFonts w:ascii="宋体" w:hAnsi="宋体" w:hint="eastAsia"/>
          <w:sz w:val="28"/>
          <w:szCs w:val="28"/>
        </w:rPr>
        <w:t>三</w:t>
      </w:r>
      <w:r w:rsidRPr="002C463A">
        <w:rPr>
          <w:rFonts w:ascii="宋体" w:hAnsi="宋体"/>
          <w:sz w:val="28"/>
          <w:szCs w:val="28"/>
        </w:rPr>
        <w:t>）</w:t>
      </w:r>
      <w:r w:rsidR="00DC012E">
        <w:rPr>
          <w:rFonts w:ascii="宋体" w:hAnsi="宋体" w:hint="eastAsia"/>
          <w:sz w:val="28"/>
          <w:szCs w:val="28"/>
        </w:rPr>
        <w:t>第一学历为非临床药学专业或</w:t>
      </w:r>
      <w:r w:rsidRPr="002C463A">
        <w:rPr>
          <w:rFonts w:ascii="宋体" w:hAnsi="宋体" w:hint="eastAsia"/>
          <w:sz w:val="28"/>
          <w:szCs w:val="28"/>
        </w:rPr>
        <w:t>药学、药物制剂、药物分析、药物化学专业全日制本科毕业，但在研究生阶段接受全日制药学类相关专业教育，包括临床药学或者药理学、药剂学研究生毕业，在医院药学部门从事药剂工作满</w:t>
      </w:r>
      <w:r w:rsidRPr="002C463A">
        <w:rPr>
          <w:rFonts w:ascii="宋体" w:hAnsi="宋体"/>
          <w:sz w:val="28"/>
          <w:szCs w:val="28"/>
        </w:rPr>
        <w:t>2年</w:t>
      </w:r>
      <w:r w:rsidRPr="002C463A">
        <w:rPr>
          <w:rFonts w:ascii="宋体" w:hAnsi="宋体" w:hint="eastAsia"/>
          <w:sz w:val="28"/>
          <w:szCs w:val="28"/>
        </w:rPr>
        <w:t>,可报名参加通科临床药师培训；</w:t>
      </w:r>
      <w:r w:rsidRPr="002C463A">
        <w:rPr>
          <w:rFonts w:ascii="宋体" w:hAnsi="宋体"/>
          <w:sz w:val="28"/>
          <w:szCs w:val="28"/>
        </w:rPr>
        <w:t>获得</w:t>
      </w:r>
      <w:r w:rsidRPr="002C463A">
        <w:rPr>
          <w:rFonts w:ascii="宋体" w:hAnsi="宋体" w:hint="eastAsia"/>
          <w:sz w:val="28"/>
          <w:szCs w:val="28"/>
        </w:rPr>
        <w:t>西药</w:t>
      </w:r>
      <w:r w:rsidRPr="002C463A">
        <w:rPr>
          <w:rFonts w:ascii="宋体" w:hAnsi="宋体"/>
          <w:sz w:val="28"/>
          <w:szCs w:val="28"/>
        </w:rPr>
        <w:t>主管</w:t>
      </w:r>
      <w:r w:rsidRPr="002C463A">
        <w:rPr>
          <w:rFonts w:ascii="宋体" w:hAnsi="宋体" w:hint="eastAsia"/>
          <w:sz w:val="28"/>
          <w:szCs w:val="28"/>
        </w:rPr>
        <w:t>药师以上专业技术职务任职资格的，可参加专科临床药师培训。</w:t>
      </w:r>
    </w:p>
    <w:p w:rsidR="0057139D" w:rsidRPr="002C463A" w:rsidRDefault="00DC012E" w:rsidP="0057139D">
      <w:pPr>
        <w:ind w:firstLineChars="200" w:firstLine="560"/>
        <w:rPr>
          <w:rFonts w:ascii="宋体" w:hAnsi="宋体"/>
          <w:sz w:val="28"/>
          <w:szCs w:val="28"/>
        </w:rPr>
      </w:pPr>
      <w:r>
        <w:rPr>
          <w:rFonts w:ascii="宋体" w:hAnsi="宋体" w:hint="eastAsia"/>
          <w:sz w:val="28"/>
          <w:szCs w:val="28"/>
        </w:rPr>
        <w:lastRenderedPageBreak/>
        <w:t>四、本科学历为非临床药学或</w:t>
      </w:r>
      <w:r w:rsidR="0057139D" w:rsidRPr="002C463A">
        <w:rPr>
          <w:rFonts w:ascii="宋体" w:hAnsi="宋体" w:hint="eastAsia"/>
          <w:sz w:val="28"/>
          <w:szCs w:val="28"/>
        </w:rPr>
        <w:t>药学、药物制剂、药物分析、药物化学专业全日制毕业，研究生非临床药学或者药理学、药剂学专业毕业，但在医院药学部门连续从事药剂工作满5</w:t>
      </w:r>
      <w:r w:rsidR="0057139D" w:rsidRPr="002C463A">
        <w:rPr>
          <w:rFonts w:ascii="宋体" w:hAnsi="宋体"/>
          <w:sz w:val="28"/>
          <w:szCs w:val="28"/>
        </w:rPr>
        <w:t>年</w:t>
      </w:r>
      <w:r w:rsidR="0057139D" w:rsidRPr="002C463A">
        <w:rPr>
          <w:rFonts w:ascii="宋体" w:hAnsi="宋体" w:hint="eastAsia"/>
          <w:sz w:val="28"/>
          <w:szCs w:val="28"/>
        </w:rPr>
        <w:t>，</w:t>
      </w:r>
      <w:r w:rsidR="0057139D" w:rsidRPr="002C463A">
        <w:rPr>
          <w:rFonts w:ascii="宋体" w:hAnsi="宋体"/>
          <w:sz w:val="28"/>
          <w:szCs w:val="28"/>
        </w:rPr>
        <w:t>并已获得西药主管</w:t>
      </w:r>
      <w:r w:rsidR="0057139D" w:rsidRPr="002C463A">
        <w:rPr>
          <w:rFonts w:ascii="宋体" w:hAnsi="宋体" w:hint="eastAsia"/>
          <w:sz w:val="28"/>
          <w:szCs w:val="28"/>
        </w:rPr>
        <w:t>药师及以上专业技术职务任职资格的，可参加通科临床药师培训。</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五、县级及县级以下医疗机构药师报名参加通科临床药师培训，学历条件可适当放宽：</w:t>
      </w:r>
    </w:p>
    <w:p w:rsidR="0057139D" w:rsidRPr="002C463A" w:rsidRDefault="0057139D" w:rsidP="0057139D">
      <w:pPr>
        <w:ind w:firstLineChars="200" w:firstLine="560"/>
        <w:rPr>
          <w:rFonts w:ascii="宋体" w:hAnsi="宋体"/>
          <w:sz w:val="28"/>
          <w:szCs w:val="28"/>
        </w:rPr>
      </w:pPr>
      <w:r w:rsidRPr="002C463A">
        <w:rPr>
          <w:rFonts w:ascii="宋体" w:hAnsi="宋体" w:hint="eastAsia"/>
          <w:bCs/>
          <w:sz w:val="28"/>
          <w:szCs w:val="28"/>
        </w:rPr>
        <w:t>（一）高等院校</w:t>
      </w:r>
      <w:r w:rsidRPr="002C463A">
        <w:rPr>
          <w:rFonts w:ascii="宋体" w:hAnsi="宋体" w:hint="eastAsia"/>
          <w:sz w:val="28"/>
          <w:szCs w:val="28"/>
        </w:rPr>
        <w:t>药学、药物制剂、药物分析、药物化学专业</w:t>
      </w:r>
      <w:r w:rsidRPr="002C463A">
        <w:rPr>
          <w:rFonts w:ascii="宋体" w:hAnsi="宋体" w:hint="eastAsia"/>
          <w:bCs/>
          <w:sz w:val="28"/>
          <w:szCs w:val="28"/>
        </w:rPr>
        <w:t>专科毕业</w:t>
      </w:r>
      <w:r w:rsidRPr="002C463A">
        <w:rPr>
          <w:rFonts w:ascii="宋体" w:hAnsi="宋体" w:hint="eastAsia"/>
          <w:sz w:val="28"/>
          <w:szCs w:val="28"/>
        </w:rPr>
        <w:t>，在医疗机构药学部门从事药剂工作满2</w:t>
      </w:r>
      <w:r w:rsidRPr="002C463A">
        <w:rPr>
          <w:rFonts w:ascii="宋体" w:hAnsi="宋体"/>
          <w:sz w:val="28"/>
          <w:szCs w:val="28"/>
        </w:rPr>
        <w:t>年</w:t>
      </w:r>
      <w:r w:rsidRPr="002C463A">
        <w:rPr>
          <w:rFonts w:ascii="宋体" w:hAnsi="宋体" w:hint="eastAsia"/>
          <w:sz w:val="28"/>
          <w:szCs w:val="28"/>
        </w:rPr>
        <w:t>，取</w:t>
      </w:r>
      <w:r w:rsidRPr="002C463A">
        <w:rPr>
          <w:rFonts w:ascii="宋体" w:hAnsi="宋体"/>
          <w:sz w:val="28"/>
          <w:szCs w:val="28"/>
        </w:rPr>
        <w:t>得</w:t>
      </w:r>
      <w:r w:rsidRPr="002C463A">
        <w:rPr>
          <w:rFonts w:ascii="宋体" w:hAnsi="宋体" w:hint="eastAsia"/>
          <w:sz w:val="28"/>
          <w:szCs w:val="28"/>
        </w:rPr>
        <w:t>药师及以上专业技术职务任职资格的，可报名</w:t>
      </w:r>
      <w:r w:rsidRPr="002C463A">
        <w:rPr>
          <w:rFonts w:ascii="宋体" w:hAnsi="宋体"/>
          <w:sz w:val="28"/>
          <w:szCs w:val="28"/>
        </w:rPr>
        <w:t>参加</w:t>
      </w:r>
      <w:r w:rsidRPr="002C463A">
        <w:rPr>
          <w:rFonts w:ascii="宋体" w:hAnsi="宋体" w:hint="eastAsia"/>
          <w:sz w:val="28"/>
          <w:szCs w:val="28"/>
        </w:rPr>
        <w:t>通科临床药师培训。</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（二）第一学历为非药学、药物制剂、药物分析、药物化学专业</w:t>
      </w:r>
      <w:r w:rsidRPr="002C463A">
        <w:rPr>
          <w:rFonts w:ascii="宋体" w:hAnsi="宋体" w:hint="eastAsia"/>
          <w:bCs/>
          <w:sz w:val="28"/>
          <w:szCs w:val="28"/>
        </w:rPr>
        <w:t>专科毕业</w:t>
      </w:r>
      <w:r w:rsidRPr="002C463A">
        <w:rPr>
          <w:rFonts w:ascii="宋体" w:hAnsi="宋体" w:hint="eastAsia"/>
          <w:sz w:val="28"/>
          <w:szCs w:val="28"/>
        </w:rPr>
        <w:t>，在医疗机构药学部门从事药剂工作</w:t>
      </w:r>
      <w:r w:rsidRPr="002C463A">
        <w:rPr>
          <w:rFonts w:ascii="Arial" w:hAnsi="Arial" w:cs="Arial" w:hint="eastAsia"/>
          <w:sz w:val="28"/>
          <w:szCs w:val="28"/>
        </w:rPr>
        <w:t>满</w:t>
      </w:r>
      <w:r w:rsidRPr="002C463A">
        <w:rPr>
          <w:rFonts w:ascii="Arial" w:hAnsi="Arial" w:cs="Arial" w:hint="eastAsia"/>
          <w:sz w:val="28"/>
          <w:szCs w:val="28"/>
        </w:rPr>
        <w:t>5</w:t>
      </w:r>
      <w:r w:rsidRPr="002C463A">
        <w:rPr>
          <w:rFonts w:ascii="宋体" w:hAnsi="宋体"/>
          <w:sz w:val="28"/>
          <w:szCs w:val="28"/>
        </w:rPr>
        <w:t>年，</w:t>
      </w:r>
      <w:r w:rsidRPr="002C463A">
        <w:rPr>
          <w:rFonts w:ascii="宋体" w:hAnsi="宋体" w:hint="eastAsia"/>
          <w:sz w:val="28"/>
          <w:szCs w:val="28"/>
        </w:rPr>
        <w:t>并已获</w:t>
      </w:r>
      <w:r w:rsidRPr="002C463A">
        <w:rPr>
          <w:rFonts w:ascii="宋体" w:hAnsi="宋体"/>
          <w:sz w:val="28"/>
          <w:szCs w:val="28"/>
        </w:rPr>
        <w:t>得</w:t>
      </w:r>
      <w:r w:rsidRPr="002C463A">
        <w:rPr>
          <w:rFonts w:ascii="宋体" w:hAnsi="宋体" w:hint="eastAsia"/>
          <w:sz w:val="28"/>
          <w:szCs w:val="28"/>
        </w:rPr>
        <w:t>西药主管药师专业技术职务任职资格的，可报名参加通科临床药师培训。</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六、临床药师培训基地招生时要按照《国家临床药师培训基地管理细则》的规定和本补充规定认真审核学员资格，在对学员证件审核时，应以原件扫描件为准并妥善存档，并经中国医院协会药事管理专业委员会对学员资质审核通过后方可录取。</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七、为保证医院药学人才队伍的专业性，从2021年</w:t>
      </w:r>
      <w:r w:rsidRPr="002C463A">
        <w:rPr>
          <w:rFonts w:ascii="宋体" w:hAnsi="宋体"/>
          <w:sz w:val="28"/>
          <w:szCs w:val="28"/>
        </w:rPr>
        <w:t>开始</w:t>
      </w:r>
      <w:r w:rsidRPr="002C463A">
        <w:rPr>
          <w:rFonts w:ascii="宋体" w:hAnsi="宋体" w:hint="eastAsia"/>
          <w:sz w:val="28"/>
          <w:szCs w:val="28"/>
        </w:rPr>
        <w:t>，临床药师培训基地招生学员条件将逐渐恢复到《国家临床药师培训基地管理细则》关于“学员应具备的基本条件”的规定，即：高等医药院校药学院或综合大学药学院系临床药学专业（100703TK）或者药学专业（100701）全日制本科毕业及以上学历。以引导临床药师的专业教育发展方向，明确医疗机构药学专业人才的学历定位，为高等医药院校药学教育改革提供医疗机构需求的人才信息，加速临床药学学科的健</w:t>
      </w:r>
      <w:r w:rsidRPr="002C463A">
        <w:rPr>
          <w:rFonts w:ascii="宋体" w:hAnsi="宋体" w:hint="eastAsia"/>
          <w:sz w:val="28"/>
          <w:szCs w:val="28"/>
        </w:rPr>
        <w:lastRenderedPageBreak/>
        <w:t>康发展。</w:t>
      </w:r>
    </w:p>
    <w:p w:rsidR="0057139D" w:rsidRPr="002C463A" w:rsidRDefault="0057139D" w:rsidP="0057139D">
      <w:pPr>
        <w:ind w:firstLineChars="217" w:firstLine="608"/>
        <w:rPr>
          <w:rFonts w:ascii="宋体" w:hAnsi="宋体"/>
          <w:sz w:val="28"/>
          <w:szCs w:val="28"/>
        </w:rPr>
      </w:pPr>
      <w:r w:rsidRPr="002C463A">
        <w:rPr>
          <w:rFonts w:ascii="宋体" w:hAnsi="宋体" w:hint="eastAsia"/>
          <w:sz w:val="28"/>
          <w:szCs w:val="28"/>
        </w:rPr>
        <w:t>随着临床药师培训规模的日益扩大，招生工作中可能还会出现新的问题，请及时反馈给我们。各临床药师培训基地要积极配合医院药学转型，大力培养应用型药学人才，重视培训质量，严格按照中国医院协会临床药师工作专家委员会制定的《国家临床药师培训基地管理细则》、《临床药师专业培训大纲》</w:t>
      </w:r>
      <w:r w:rsidRPr="002C463A">
        <w:rPr>
          <w:rFonts w:asciiTheme="minorEastAsia" w:hAnsiTheme="minorEastAsia" w:cstheme="minorEastAsia" w:hint="eastAsia"/>
          <w:sz w:val="28"/>
          <w:szCs w:val="28"/>
        </w:rPr>
        <w:t>和《临床药师培训考核工作方案》</w:t>
      </w:r>
      <w:r w:rsidRPr="002C463A">
        <w:rPr>
          <w:rFonts w:ascii="宋体" w:hAnsi="宋体" w:hint="eastAsia"/>
          <w:sz w:val="28"/>
          <w:szCs w:val="28"/>
        </w:rPr>
        <w:t>等管理文件规范培训管理。</w:t>
      </w:r>
    </w:p>
    <w:p w:rsidR="0057139D" w:rsidRPr="002C463A" w:rsidRDefault="0057139D" w:rsidP="0057139D">
      <w:pPr>
        <w:ind w:firstLineChars="200" w:firstLine="560"/>
        <w:rPr>
          <w:rFonts w:ascii="宋体" w:hAnsi="宋体"/>
          <w:sz w:val="28"/>
          <w:szCs w:val="28"/>
        </w:rPr>
      </w:pPr>
      <w:r w:rsidRPr="002C463A">
        <w:rPr>
          <w:rFonts w:ascii="宋体" w:hAnsi="宋体" w:hint="eastAsia"/>
          <w:sz w:val="28"/>
          <w:szCs w:val="28"/>
        </w:rPr>
        <w:t>八、本规定自2017年春季招生起实行。</w:t>
      </w:r>
    </w:p>
    <w:p w:rsidR="0057139D" w:rsidRPr="002C463A" w:rsidRDefault="0057139D" w:rsidP="0057139D"/>
    <w:p w:rsidR="0057139D" w:rsidRPr="0057139D" w:rsidRDefault="0057139D" w:rsidP="0057139D">
      <w:pPr>
        <w:ind w:rightChars="512" w:right="1075"/>
        <w:jc w:val="right"/>
        <w:rPr>
          <w:rFonts w:asciiTheme="minorEastAsia" w:hAnsiTheme="minorEastAsia" w:cstheme="minorEastAsia"/>
          <w:sz w:val="28"/>
          <w:szCs w:val="28"/>
        </w:rPr>
      </w:pPr>
    </w:p>
    <w:sectPr w:rsidR="0057139D" w:rsidRPr="0057139D" w:rsidSect="004A5BD2">
      <w:footerReference w:type="default" r:id="rId9"/>
      <w:pgSz w:w="11906" w:h="16838"/>
      <w:pgMar w:top="1440" w:right="1133" w:bottom="1440" w:left="993"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5E" w:rsidRDefault="00421E5E" w:rsidP="004A5BD2">
      <w:r>
        <w:separator/>
      </w:r>
    </w:p>
  </w:endnote>
  <w:endnote w:type="continuationSeparator" w:id="0">
    <w:p w:rsidR="00421E5E" w:rsidRDefault="00421E5E" w:rsidP="004A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60116"/>
    </w:sdtPr>
    <w:sdtEndPr/>
    <w:sdtContent>
      <w:p w:rsidR="004A5BD2" w:rsidRDefault="00D22E7A">
        <w:pPr>
          <w:pStyle w:val="a5"/>
          <w:jc w:val="center"/>
        </w:pPr>
        <w:r>
          <w:fldChar w:fldCharType="begin"/>
        </w:r>
        <w:r w:rsidR="006A0F9F">
          <w:instrText>PAGE   \* MERGEFORMAT</w:instrText>
        </w:r>
        <w:r>
          <w:fldChar w:fldCharType="separate"/>
        </w:r>
        <w:r w:rsidR="00A76AE7" w:rsidRPr="00A76AE7">
          <w:rPr>
            <w:noProof/>
            <w:lang w:val="zh-CN"/>
          </w:rPr>
          <w:t>4</w:t>
        </w:r>
        <w:r>
          <w:fldChar w:fldCharType="end"/>
        </w:r>
      </w:p>
    </w:sdtContent>
  </w:sdt>
  <w:p w:rsidR="004A5BD2" w:rsidRDefault="004A5BD2">
    <w:pPr>
      <w:pStyle w:val="a5"/>
      <w:tabs>
        <w:tab w:val="clear" w:pos="4153"/>
        <w:tab w:val="clear" w:pos="8306"/>
        <w:tab w:val="left" w:pos="55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5E" w:rsidRDefault="00421E5E" w:rsidP="004A5BD2">
      <w:r>
        <w:separator/>
      </w:r>
    </w:p>
  </w:footnote>
  <w:footnote w:type="continuationSeparator" w:id="0">
    <w:p w:rsidR="00421E5E" w:rsidRDefault="00421E5E" w:rsidP="004A5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EEA26"/>
    <w:multiLevelType w:val="singleLevel"/>
    <w:tmpl w:val="57FEEA26"/>
    <w:lvl w:ilvl="0">
      <w:start w:val="1"/>
      <w:numFmt w:val="decimal"/>
      <w:suff w:val="space"/>
      <w:lvlText w:val="%1."/>
      <w:lvlJc w:val="left"/>
    </w:lvl>
  </w:abstractNum>
  <w:abstractNum w:abstractNumId="1" w15:restartNumberingAfterBreak="0">
    <w:nsid w:val="57FF2321"/>
    <w:multiLevelType w:val="singleLevel"/>
    <w:tmpl w:val="57FF2321"/>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5EB"/>
    <w:rsid w:val="0003302B"/>
    <w:rsid w:val="00044B8A"/>
    <w:rsid w:val="00052A17"/>
    <w:rsid w:val="000B3543"/>
    <w:rsid w:val="000D57D4"/>
    <w:rsid w:val="001058F7"/>
    <w:rsid w:val="00156F68"/>
    <w:rsid w:val="00243DD5"/>
    <w:rsid w:val="00295552"/>
    <w:rsid w:val="002A72AA"/>
    <w:rsid w:val="002D085B"/>
    <w:rsid w:val="002D53B4"/>
    <w:rsid w:val="002E0346"/>
    <w:rsid w:val="002F07CB"/>
    <w:rsid w:val="00363B52"/>
    <w:rsid w:val="00365059"/>
    <w:rsid w:val="00366C12"/>
    <w:rsid w:val="00376221"/>
    <w:rsid w:val="003A41F5"/>
    <w:rsid w:val="0040489B"/>
    <w:rsid w:val="00412284"/>
    <w:rsid w:val="00415B83"/>
    <w:rsid w:val="00421E5E"/>
    <w:rsid w:val="00426C3A"/>
    <w:rsid w:val="0045020A"/>
    <w:rsid w:val="00494DD2"/>
    <w:rsid w:val="0049708A"/>
    <w:rsid w:val="004A5BD2"/>
    <w:rsid w:val="005679D2"/>
    <w:rsid w:val="0057139D"/>
    <w:rsid w:val="00594C1C"/>
    <w:rsid w:val="005D1D3B"/>
    <w:rsid w:val="005E17C1"/>
    <w:rsid w:val="00616129"/>
    <w:rsid w:val="0063549F"/>
    <w:rsid w:val="00665EB7"/>
    <w:rsid w:val="006755DC"/>
    <w:rsid w:val="006A0F9F"/>
    <w:rsid w:val="00721646"/>
    <w:rsid w:val="00751040"/>
    <w:rsid w:val="00781F4F"/>
    <w:rsid w:val="00790564"/>
    <w:rsid w:val="007F040C"/>
    <w:rsid w:val="008115EB"/>
    <w:rsid w:val="008348E5"/>
    <w:rsid w:val="00843F9F"/>
    <w:rsid w:val="00866287"/>
    <w:rsid w:val="008B7AAD"/>
    <w:rsid w:val="008D73C5"/>
    <w:rsid w:val="008F5A4A"/>
    <w:rsid w:val="008F6B6E"/>
    <w:rsid w:val="008F6CA8"/>
    <w:rsid w:val="009105F6"/>
    <w:rsid w:val="00921215"/>
    <w:rsid w:val="00980B48"/>
    <w:rsid w:val="0099311A"/>
    <w:rsid w:val="009E125F"/>
    <w:rsid w:val="009F2D7E"/>
    <w:rsid w:val="00A05B7D"/>
    <w:rsid w:val="00A15C59"/>
    <w:rsid w:val="00A450F3"/>
    <w:rsid w:val="00A7653B"/>
    <w:rsid w:val="00A76AE7"/>
    <w:rsid w:val="00A9724E"/>
    <w:rsid w:val="00AB5BE2"/>
    <w:rsid w:val="00AD7E1A"/>
    <w:rsid w:val="00B5527C"/>
    <w:rsid w:val="00B6523A"/>
    <w:rsid w:val="00BC4136"/>
    <w:rsid w:val="00BC745A"/>
    <w:rsid w:val="00BD5208"/>
    <w:rsid w:val="00BE4F60"/>
    <w:rsid w:val="00BE7997"/>
    <w:rsid w:val="00BF52E0"/>
    <w:rsid w:val="00C17A70"/>
    <w:rsid w:val="00C344FC"/>
    <w:rsid w:val="00CE6E85"/>
    <w:rsid w:val="00D22E7A"/>
    <w:rsid w:val="00D432CD"/>
    <w:rsid w:val="00D9378B"/>
    <w:rsid w:val="00D94766"/>
    <w:rsid w:val="00DC012E"/>
    <w:rsid w:val="00E13C8D"/>
    <w:rsid w:val="00E50C8D"/>
    <w:rsid w:val="00E635E5"/>
    <w:rsid w:val="00E9723E"/>
    <w:rsid w:val="00ED7F5A"/>
    <w:rsid w:val="00EF0E52"/>
    <w:rsid w:val="00F20670"/>
    <w:rsid w:val="00F941B2"/>
    <w:rsid w:val="00FA452E"/>
    <w:rsid w:val="00FB7B55"/>
    <w:rsid w:val="00FC39DC"/>
    <w:rsid w:val="02EE51D8"/>
    <w:rsid w:val="0CE93687"/>
    <w:rsid w:val="108D1C25"/>
    <w:rsid w:val="13296FA0"/>
    <w:rsid w:val="174A6246"/>
    <w:rsid w:val="1DA5178F"/>
    <w:rsid w:val="1DD110D3"/>
    <w:rsid w:val="222414A8"/>
    <w:rsid w:val="2235268E"/>
    <w:rsid w:val="26F432B8"/>
    <w:rsid w:val="273A1533"/>
    <w:rsid w:val="281F2A78"/>
    <w:rsid w:val="2EB842D1"/>
    <w:rsid w:val="34E96926"/>
    <w:rsid w:val="359C49B7"/>
    <w:rsid w:val="41147920"/>
    <w:rsid w:val="471D2284"/>
    <w:rsid w:val="51370D95"/>
    <w:rsid w:val="51F362C8"/>
    <w:rsid w:val="526253EF"/>
    <w:rsid w:val="527E7276"/>
    <w:rsid w:val="572704A9"/>
    <w:rsid w:val="57D44077"/>
    <w:rsid w:val="58A81169"/>
    <w:rsid w:val="5B8D7E2B"/>
    <w:rsid w:val="5E712AF1"/>
    <w:rsid w:val="5F4469C3"/>
    <w:rsid w:val="630B0E56"/>
    <w:rsid w:val="64C9755E"/>
    <w:rsid w:val="64EC0472"/>
    <w:rsid w:val="65A029A1"/>
    <w:rsid w:val="68A0748B"/>
    <w:rsid w:val="6A7832C1"/>
    <w:rsid w:val="6F5802A7"/>
    <w:rsid w:val="70271259"/>
    <w:rsid w:val="72FB7F9A"/>
    <w:rsid w:val="73CA52C8"/>
    <w:rsid w:val="74256266"/>
    <w:rsid w:val="743C44A6"/>
    <w:rsid w:val="7A4B2FDA"/>
    <w:rsid w:val="7C8C7E4C"/>
    <w:rsid w:val="7EF56FA3"/>
    <w:rsid w:val="7F433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791D9"/>
  <w15:docId w15:val="{C1A02129-F362-4E03-B058-6B2FB26C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BD2"/>
    <w:pPr>
      <w:widowControl w:val="0"/>
      <w:jc w:val="both"/>
    </w:pPr>
    <w:rPr>
      <w:kern w:val="2"/>
      <w:sz w:val="21"/>
      <w:szCs w:val="22"/>
    </w:rPr>
  </w:style>
  <w:style w:type="paragraph" w:styleId="1">
    <w:name w:val="heading 1"/>
    <w:basedOn w:val="a"/>
    <w:next w:val="a"/>
    <w:link w:val="10"/>
    <w:uiPriority w:val="9"/>
    <w:qFormat/>
    <w:rsid w:val="004A5B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4A5BD2"/>
    <w:pPr>
      <w:widowControl/>
      <w:spacing w:after="100" w:line="276" w:lineRule="auto"/>
      <w:ind w:left="440"/>
      <w:jc w:val="left"/>
    </w:pPr>
    <w:rPr>
      <w:kern w:val="0"/>
      <w:sz w:val="22"/>
    </w:rPr>
  </w:style>
  <w:style w:type="paragraph" w:styleId="a3">
    <w:name w:val="Balloon Text"/>
    <w:basedOn w:val="a"/>
    <w:link w:val="a4"/>
    <w:uiPriority w:val="99"/>
    <w:unhideWhenUsed/>
    <w:qFormat/>
    <w:rsid w:val="004A5BD2"/>
    <w:rPr>
      <w:sz w:val="18"/>
      <w:szCs w:val="18"/>
    </w:rPr>
  </w:style>
  <w:style w:type="paragraph" w:styleId="a5">
    <w:name w:val="footer"/>
    <w:basedOn w:val="a"/>
    <w:link w:val="a6"/>
    <w:uiPriority w:val="99"/>
    <w:unhideWhenUsed/>
    <w:qFormat/>
    <w:rsid w:val="004A5BD2"/>
    <w:pPr>
      <w:tabs>
        <w:tab w:val="center" w:pos="4153"/>
        <w:tab w:val="right" w:pos="8306"/>
      </w:tabs>
      <w:snapToGrid w:val="0"/>
      <w:jc w:val="left"/>
    </w:pPr>
    <w:rPr>
      <w:sz w:val="18"/>
      <w:szCs w:val="18"/>
    </w:rPr>
  </w:style>
  <w:style w:type="paragraph" w:styleId="a7">
    <w:name w:val="header"/>
    <w:basedOn w:val="a"/>
    <w:link w:val="a8"/>
    <w:uiPriority w:val="99"/>
    <w:unhideWhenUsed/>
    <w:qFormat/>
    <w:rsid w:val="004A5BD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4A5BD2"/>
    <w:pPr>
      <w:widowControl/>
      <w:spacing w:after="100" w:line="276" w:lineRule="auto"/>
      <w:jc w:val="left"/>
    </w:pPr>
    <w:rPr>
      <w:kern w:val="0"/>
      <w:sz w:val="22"/>
    </w:rPr>
  </w:style>
  <w:style w:type="paragraph" w:styleId="2">
    <w:name w:val="toc 2"/>
    <w:basedOn w:val="a"/>
    <w:next w:val="a"/>
    <w:uiPriority w:val="39"/>
    <w:unhideWhenUsed/>
    <w:qFormat/>
    <w:rsid w:val="004A5BD2"/>
    <w:pPr>
      <w:widowControl/>
      <w:spacing w:after="100" w:line="276" w:lineRule="auto"/>
      <w:ind w:left="220"/>
      <w:jc w:val="left"/>
    </w:pPr>
    <w:rPr>
      <w:kern w:val="0"/>
      <w:sz w:val="22"/>
    </w:rPr>
  </w:style>
  <w:style w:type="character" w:styleId="a9">
    <w:name w:val="Hyperlink"/>
    <w:basedOn w:val="a0"/>
    <w:uiPriority w:val="99"/>
    <w:unhideWhenUsed/>
    <w:qFormat/>
    <w:rsid w:val="004A5BD2"/>
    <w:rPr>
      <w:color w:val="0000FF" w:themeColor="hyperlink"/>
      <w:u w:val="single"/>
    </w:rPr>
  </w:style>
  <w:style w:type="table" w:styleId="aa">
    <w:name w:val="Table Grid"/>
    <w:basedOn w:val="a1"/>
    <w:uiPriority w:val="59"/>
    <w:qFormat/>
    <w:rsid w:val="004A5B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4A5BD2"/>
    <w:rPr>
      <w:kern w:val="2"/>
      <w:sz w:val="18"/>
      <w:szCs w:val="18"/>
    </w:rPr>
  </w:style>
  <w:style w:type="character" w:customStyle="1" w:styleId="a6">
    <w:name w:val="页脚 字符"/>
    <w:basedOn w:val="a0"/>
    <w:link w:val="a5"/>
    <w:uiPriority w:val="99"/>
    <w:qFormat/>
    <w:rsid w:val="004A5BD2"/>
    <w:rPr>
      <w:kern w:val="2"/>
      <w:sz w:val="18"/>
      <w:szCs w:val="18"/>
    </w:rPr>
  </w:style>
  <w:style w:type="paragraph" w:customStyle="1" w:styleId="12">
    <w:name w:val="列出段落1"/>
    <w:basedOn w:val="a"/>
    <w:uiPriority w:val="34"/>
    <w:qFormat/>
    <w:rsid w:val="004A5BD2"/>
    <w:pPr>
      <w:ind w:firstLineChars="200" w:firstLine="420"/>
    </w:pPr>
  </w:style>
  <w:style w:type="character" w:customStyle="1" w:styleId="10">
    <w:name w:val="标题 1 字符"/>
    <w:basedOn w:val="a0"/>
    <w:link w:val="1"/>
    <w:uiPriority w:val="9"/>
    <w:qFormat/>
    <w:rsid w:val="004A5BD2"/>
    <w:rPr>
      <w:b/>
      <w:bCs/>
      <w:kern w:val="44"/>
      <w:sz w:val="44"/>
      <w:szCs w:val="44"/>
    </w:rPr>
  </w:style>
  <w:style w:type="paragraph" w:customStyle="1" w:styleId="TOC1">
    <w:name w:val="TOC 标题1"/>
    <w:basedOn w:val="1"/>
    <w:next w:val="a"/>
    <w:uiPriority w:val="39"/>
    <w:unhideWhenUsed/>
    <w:qFormat/>
    <w:rsid w:val="004A5B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sid w:val="004A5BD2"/>
    <w:rPr>
      <w:kern w:val="2"/>
      <w:sz w:val="18"/>
      <w:szCs w:val="18"/>
    </w:rPr>
  </w:style>
  <w:style w:type="paragraph" w:styleId="ab">
    <w:name w:val="Date"/>
    <w:basedOn w:val="a"/>
    <w:next w:val="a"/>
    <w:link w:val="ac"/>
    <w:uiPriority w:val="99"/>
    <w:semiHidden/>
    <w:unhideWhenUsed/>
    <w:rsid w:val="0057139D"/>
    <w:pPr>
      <w:ind w:leftChars="2500" w:left="100"/>
    </w:pPr>
  </w:style>
  <w:style w:type="character" w:customStyle="1" w:styleId="ac">
    <w:name w:val="日期 字符"/>
    <w:basedOn w:val="a0"/>
    <w:link w:val="ab"/>
    <w:uiPriority w:val="99"/>
    <w:semiHidden/>
    <w:rsid w:val="0057139D"/>
    <w:rPr>
      <w:kern w:val="2"/>
      <w:sz w:val="21"/>
      <w:szCs w:val="22"/>
    </w:rPr>
  </w:style>
  <w:style w:type="paragraph" w:styleId="ad">
    <w:name w:val="Body Text"/>
    <w:basedOn w:val="a"/>
    <w:link w:val="ae"/>
    <w:uiPriority w:val="99"/>
    <w:unhideWhenUsed/>
    <w:qFormat/>
    <w:rsid w:val="0057139D"/>
    <w:pPr>
      <w:widowControl/>
      <w:spacing w:after="120" w:line="288" w:lineRule="auto"/>
    </w:pPr>
    <w:rPr>
      <w:rFonts w:ascii="CG Times" w:eastAsia="宋体" w:hAnsi="CG Times" w:cs="Times New Roman"/>
      <w:kern w:val="0"/>
      <w:sz w:val="22"/>
      <w:szCs w:val="20"/>
      <w:lang w:val="en-GB"/>
    </w:rPr>
  </w:style>
  <w:style w:type="character" w:customStyle="1" w:styleId="ae">
    <w:name w:val="正文文本 字符"/>
    <w:basedOn w:val="a0"/>
    <w:link w:val="ad"/>
    <w:uiPriority w:val="99"/>
    <w:qFormat/>
    <w:rsid w:val="0057139D"/>
    <w:rPr>
      <w:rFonts w:ascii="CG Times" w:eastAsia="宋体" w:hAnsi="CG Times"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B182D-2E65-498D-A16A-8CAAB74C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325</Words>
  <Characters>1854</Characters>
  <Application>Microsoft Office Word</Application>
  <DocSecurity>0</DocSecurity>
  <Lines>15</Lines>
  <Paragraphs>4</Paragraphs>
  <ScaleCrop>false</ScaleCrop>
  <Company>NIHA</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zhangyuqing</cp:lastModifiedBy>
  <cp:revision>24</cp:revision>
  <cp:lastPrinted>2016-11-17T23:55:00Z</cp:lastPrinted>
  <dcterms:created xsi:type="dcterms:W3CDTF">2016-11-02T01:01:00Z</dcterms:created>
  <dcterms:modified xsi:type="dcterms:W3CDTF">2016-11-22T06:00:00Z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