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sz w:val="32"/>
          <w:szCs w:val="32"/>
        </w:rPr>
      </w:pPr>
    </w:p>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内医校发〔</w:t>
      </w:r>
      <w:r>
        <w:rPr>
          <w:rFonts w:hint="eastAsia" w:ascii="仿宋_GB2312" w:hAnsi="Times New Roman" w:eastAsia="仿宋_GB2312" w:cs="Times New Roman"/>
          <w:sz w:val="32"/>
          <w:szCs w:val="32"/>
          <w:lang w:val="en-US" w:eastAsia="zh-CN"/>
        </w:rPr>
        <w:t>2022</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55</w:t>
      </w:r>
      <w:r>
        <w:rPr>
          <w:rFonts w:hint="eastAsia" w:ascii="仿宋_GB2312" w:hAnsi="Times New Roman" w:eastAsia="仿宋_GB2312" w:cs="Times New Roman"/>
          <w:sz w:val="32"/>
          <w:szCs w:val="32"/>
        </w:rPr>
        <w:t>号</w:t>
      </w:r>
    </w:p>
    <w:p>
      <w:pPr>
        <w:spacing w:line="50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cr/>
      </w:r>
    </w:p>
    <w:p>
      <w:pPr>
        <w:jc w:val="center"/>
        <w:rPr>
          <w:rFonts w:hint="eastAsia" w:ascii="长城小标宋体" w:hAnsi="长城小标宋体" w:eastAsia="长城小标宋体" w:cs="长城小标宋体"/>
          <w:b/>
          <w:bCs/>
          <w:sz w:val="44"/>
          <w:szCs w:val="44"/>
        </w:rPr>
      </w:pPr>
      <w:r>
        <w:rPr>
          <w:rFonts w:hint="eastAsia" w:ascii="长城小标宋体" w:hAnsi="长城小标宋体" w:eastAsia="长城小标宋体" w:cs="长城小标宋体"/>
          <w:b/>
          <w:bCs/>
          <w:sz w:val="44"/>
          <w:szCs w:val="44"/>
        </w:rPr>
        <w:t>关于遴选202</w:t>
      </w:r>
      <w:r>
        <w:rPr>
          <w:rFonts w:hint="eastAsia" w:ascii="长城小标宋体" w:hAnsi="长城小标宋体" w:eastAsia="长城小标宋体" w:cs="长城小标宋体"/>
          <w:b/>
          <w:bCs/>
          <w:sz w:val="44"/>
          <w:szCs w:val="44"/>
          <w:lang w:val="en-US" w:eastAsia="zh-CN"/>
        </w:rPr>
        <w:t>3</w:t>
      </w:r>
      <w:r>
        <w:rPr>
          <w:rFonts w:hint="eastAsia" w:ascii="长城小标宋体" w:hAnsi="长城小标宋体" w:eastAsia="长城小标宋体" w:cs="长城小标宋体"/>
          <w:b/>
          <w:bCs/>
          <w:sz w:val="44"/>
          <w:szCs w:val="44"/>
        </w:rPr>
        <w:t>年</w:t>
      </w:r>
      <w:r>
        <w:rPr>
          <w:rFonts w:hint="eastAsia" w:ascii="长城小标宋体" w:hAnsi="长城小标宋体" w:eastAsia="长城小标宋体" w:cs="长城小标宋体"/>
          <w:b/>
          <w:bCs/>
          <w:sz w:val="44"/>
          <w:szCs w:val="44"/>
          <w:lang w:eastAsia="zh-CN"/>
        </w:rPr>
        <w:t>硕士</w:t>
      </w:r>
      <w:r>
        <w:rPr>
          <w:rFonts w:hint="eastAsia" w:ascii="长城小标宋体" w:hAnsi="长城小标宋体" w:eastAsia="长城小标宋体" w:cs="长城小标宋体"/>
          <w:b/>
          <w:bCs/>
          <w:sz w:val="44"/>
          <w:szCs w:val="44"/>
        </w:rPr>
        <w:t>研究生指导教师的通知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长城小标宋体" w:hAnsi="长城小标宋体" w:eastAsia="长城小标宋体" w:cs="长城小标宋体"/>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长城小标宋体" w:hAnsi="长城小标宋体" w:eastAsia="长城小标宋体" w:cs="长城小标宋体"/>
          <w:sz w:val="44"/>
          <w:szCs w:val="44"/>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各研究生培养单位：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为了进一步加强学校硕士研究生指导教师队伍建设，提高研究生培养质量，促进学位点建设与发展。决定开展2023年硕士研究生指导教师遴选工作，现将具体事宜通知如下：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一、遴选范围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结合学校实际工作需要，本次硕士生指导教师遴选范围为：校本部、各附属医院（含非直属附属医院）、临床医学院、承担学校教学任务的教学医院、业内知名且与学校有合作关系的医疗科研院所。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申请遴选的学科专业是学校目前获得硕士授权资格的学科专业。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二、遴选条件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参照《内蒙古医科大学硕士研究生指导教师遴选实施细则（修订）》（内医校发〔2022〕39号）（以下简称“遴选细则”）执行。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三、遴选要求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（一）已取得国家住院医师规范化培训基地资格的研究生培养单位，原则上鼓励申报专业学位硕士生指导教师。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（二）未取得国家住院医师规范化培训基地资格的研究生培养单位，原则上只接受申报学术学位硕士生指导教师。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三）已取得国家住院医师规范化培训协同基地的研究生培养单位，申请专业学位硕士生指导教师，需经过主基地同意和授权，在国家批准的协同规培专业中进行申报，并由主基地进行审核后上报。否则只能申报学术学位导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四）校本部、各附属医院和各临床医学院人员申请中医（蒙医）专业学位硕士生指导教师，须通过获批中医（蒙医）的住规培基地进行遴选，申报中医专业学位硕士生导师者需经过中医临床医学院同意和授权，申报蒙医专业学位硕士生导师者需经过蒙医临床医学院同意和授权，并由相应住规培基地审核后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五）业内知名与学校有合作关系的医疗科研院所人员申报硕士生指导教师，须符合遴选条件，并提供与学校或培养单位的合作协议。由申请人所在单位负责人签字并加盖单位公章后，从申请人申报学科专业所属培养单位进行申报，由相应培养单位负责审核后上报。学校不接受无单位间合作协议的个人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（六）同一人员不可同时申请专业学位和学术学位硕士生指导教师，不可同时申请两个专业的硕士生指导教师。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四、其他规定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（一）为助力“健康内蒙古”建设，推动自治区住院医师规范化培训基地均衡发展，贯彻落实《关于加快医学教育创新发展的指导意见》（国办发〔2020〕34号）、《国务院学位委员会 教育部关于印发&lt;专业学位研究生教育发展方案（2020-2025）&gt;的通知》(学位〔2020〕20号)精神，按照《内蒙古自治区卫生健康委员会办公室关于规范临床医学、口腔医学硕士专业学位研究生参加住院医师规范化培训有关工作的通知》（内卫办科教字〔2022〕176号）中“为保证培训质量，原则上按照住培学员与专硕生1:1的原则设定专硕生招收容量上限”的要求，结合各国家住院医师规范化培训基地接收专业学位研究生的容量上限，并尽可能完成教育厅下达我校的专业学位研究生招生计划，充分发挥各国家住院医师规范化培训基地接受专业学位研究生的最大效能，按照“遴选细则”第四条“导师遴选要适当照顾学校急需发展的学科和专业”及第十八条“导师遴选工作可根据学科及学位点建设和发展需要，不定期开展并适当调整部分学科专业的遴选条件”的规定，本次</w:t>
      </w:r>
      <w:r>
        <w:rPr>
          <w:rFonts w:hint="eastAsia" w:ascii="仿宋_GB2312" w:hAnsi="仿宋_GB2312" w:eastAsia="仿宋_GB2312" w:cs="仿宋_GB2312"/>
          <w:sz w:val="32"/>
          <w:szCs w:val="32"/>
          <w:highlight w:val="none"/>
        </w:rPr>
        <w:t>研究生指导教师</w:t>
      </w:r>
      <w:r>
        <w:rPr>
          <w:rFonts w:hint="eastAsia" w:ascii="仿宋_GB2312" w:hAnsi="仿宋_GB2312" w:eastAsia="仿宋_GB2312" w:cs="仿宋_GB2312"/>
          <w:b w:val="0"/>
          <w:bCs w:val="0"/>
          <w:kern w:val="2"/>
          <w:sz w:val="32"/>
          <w:szCs w:val="32"/>
          <w:highlight w:val="none"/>
          <w:lang w:val="en-US" w:eastAsia="zh-CN" w:bidi="ar-SA"/>
        </w:rPr>
        <w:t>遴选工作，对于专业学位研究生指导教师申报人数小于学校划拨计划数的培养单位，可适当降低对指导教师</w:t>
      </w:r>
      <w:r>
        <w:rPr>
          <w:rFonts w:hint="eastAsia" w:ascii="仿宋_GB2312" w:hAnsi="仿宋_GB2312" w:eastAsia="仿宋_GB2312" w:cs="仿宋_GB2312"/>
          <w:b w:val="0"/>
          <w:bCs w:val="0"/>
          <w:color w:val="auto"/>
          <w:kern w:val="2"/>
          <w:sz w:val="32"/>
          <w:szCs w:val="32"/>
          <w:highlight w:val="none"/>
          <w:lang w:val="en-US" w:eastAsia="zh-CN" w:bidi="ar-SA"/>
        </w:rPr>
        <w:t>学历学位</w:t>
      </w:r>
      <w:r>
        <w:rPr>
          <w:rFonts w:hint="eastAsia" w:ascii="仿宋_GB2312" w:hAnsi="仿宋_GB2312" w:eastAsia="仿宋_GB2312" w:cs="仿宋_GB2312"/>
          <w:b w:val="0"/>
          <w:bCs w:val="0"/>
          <w:kern w:val="2"/>
          <w:sz w:val="32"/>
          <w:szCs w:val="32"/>
          <w:highlight w:val="none"/>
          <w:lang w:val="en-US" w:eastAsia="zh-CN" w:bidi="ar-SA"/>
        </w:rPr>
        <w:t>、科研经费的要求。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1、科研经费不足、符合其他遴选条件者，科研经费欠缺部分</w:t>
      </w:r>
      <w:r>
        <w:rPr>
          <w:rFonts w:hint="eastAsia" w:ascii="仿宋_GB2312" w:hAnsi="仿宋_GB2312" w:eastAsia="仿宋_GB2312" w:cs="仿宋_GB2312"/>
          <w:b w:val="0"/>
          <w:bCs w:val="0"/>
          <w:color w:val="auto"/>
          <w:kern w:val="2"/>
          <w:sz w:val="32"/>
          <w:szCs w:val="32"/>
          <w:highlight w:val="none"/>
          <w:lang w:val="en-US" w:eastAsia="zh-CN" w:bidi="ar-SA"/>
        </w:rPr>
        <w:t>可由</w:t>
      </w:r>
      <w:r>
        <w:rPr>
          <w:rFonts w:hint="eastAsia" w:ascii="仿宋_GB2312" w:hAnsi="仿宋_GB2312" w:eastAsia="仿宋_GB2312" w:cs="仿宋_GB2312"/>
          <w:b w:val="0"/>
          <w:bCs w:val="0"/>
          <w:kern w:val="2"/>
          <w:sz w:val="32"/>
          <w:szCs w:val="32"/>
          <w:highlight w:val="none"/>
          <w:lang w:val="en-US" w:eastAsia="zh-CN" w:bidi="ar-SA"/>
        </w:rPr>
        <w:t>申请人所在单位通过院内自行匹配科研经费的方式补足。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2、学历学位要求不达标但符合其他遴选条件者，且之前作为研究生指导教师指导过研究生，按照足额完成学校下达的研究生指导教师计划数、择优遴选的原则，结合各培养单位实际，可适当降低对指导教师的</w:t>
      </w:r>
      <w:r>
        <w:rPr>
          <w:rFonts w:hint="eastAsia" w:ascii="仿宋_GB2312" w:hAnsi="仿宋_GB2312" w:eastAsia="仿宋_GB2312" w:cs="仿宋_GB2312"/>
          <w:b w:val="0"/>
          <w:bCs w:val="0"/>
          <w:color w:val="auto"/>
          <w:kern w:val="2"/>
          <w:sz w:val="32"/>
          <w:szCs w:val="32"/>
          <w:highlight w:val="none"/>
          <w:lang w:val="en-US" w:eastAsia="zh-CN" w:bidi="ar-SA"/>
        </w:rPr>
        <w:t>学历学位</w:t>
      </w:r>
      <w:r>
        <w:rPr>
          <w:rFonts w:hint="eastAsia" w:ascii="仿宋_GB2312" w:hAnsi="仿宋_GB2312" w:eastAsia="仿宋_GB2312" w:cs="仿宋_GB2312"/>
          <w:b w:val="0"/>
          <w:bCs w:val="0"/>
          <w:kern w:val="2"/>
          <w:sz w:val="32"/>
          <w:szCs w:val="32"/>
          <w:highlight w:val="none"/>
          <w:lang w:val="en-US" w:eastAsia="zh-CN" w:bidi="ar-SA"/>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为培养国家和自治区急需和紧缺医学人才，拓宽急需和紧缺专业医学人才的专业覆盖面，有力夯实学校新一轮临床医学博士点授权申报。按照“遴选细则”第四条及第十八条的规定，对申请儿科学、老年医学、急诊医学、重症医学、全科医学、儿外科学、运动医学、麻醉学、临床病理、医学遗传学等专业领域的研究生指导教师，可适当降低对科研经费或年龄的要求，年龄可放宽至59周岁（截至2022年8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（三）为进一步发挥学校重点学科、领先学科的引领效应，依据“遴选细则”第四、十八条的规定，作为自治区及以上重点学科、领先学科的带头人，至少满足以下条件中2项者，年龄可放宽至</w:t>
      </w:r>
      <w:r>
        <w:rPr>
          <w:rFonts w:hint="eastAsia" w:ascii="仿宋_GB2312" w:hAnsi="仿宋_GB2312" w:eastAsia="仿宋_GB2312" w:cs="仿宋_GB2312"/>
          <w:b w:val="0"/>
          <w:bCs w:val="0"/>
          <w:color w:val="auto"/>
          <w:kern w:val="2"/>
          <w:sz w:val="32"/>
          <w:szCs w:val="32"/>
          <w:highlight w:val="none"/>
          <w:lang w:val="en-US" w:eastAsia="zh-CN" w:bidi="ar-SA"/>
        </w:rPr>
        <w:t>59</w:t>
      </w:r>
      <w:r>
        <w:rPr>
          <w:rFonts w:hint="eastAsia" w:ascii="仿宋_GB2312" w:hAnsi="仿宋_GB2312" w:eastAsia="仿宋_GB2312" w:cs="仿宋_GB2312"/>
          <w:b w:val="0"/>
          <w:bCs w:val="0"/>
          <w:kern w:val="2"/>
          <w:sz w:val="32"/>
          <w:szCs w:val="32"/>
          <w:highlight w:val="none"/>
          <w:lang w:val="en-US" w:eastAsia="zh-CN" w:bidi="ar-SA"/>
        </w:rPr>
        <w:t>周岁（截至2022年8月31日）。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1、近五年主持国家级科研项目或主持省部级科研项目≥1项，且目前可支配科研经费≥30万元。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近五年以第一作者或通讯作者在中国科学院期刊分区1区期刊上发表学术论文≥1篇；或2区发表学术论文≥2篇；或3区、4区、EI检索的本学科学术期刊、《中文核心期刊要目总揽》（北京大学出版社）、《中国科学引文数据库》（CSCD）期刊、《中国社会科学》、《新华文摘》全文发表或全文收录或《人文社会科学引文索引》（CSSCI）所列核心期刊，发表学术论文≥3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3、获省部级科研和教学奖励一等奖的额定完成人；获得省部级以上创新创业奖励成果（排名第一）。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4、聘为我校专业技术岗二级教授（二级主任医师）。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5、聘为我校或其他院校博士研究生导师。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（四）为支持学校新上学位点建设，发挥好传帮带作用，对申报公共管理硕士专业学位，公共卫生与预防医学、生物学、口腔医学学术学位的研究生指导教师，至少满足以下条件中1项，年龄可放宽至</w:t>
      </w:r>
      <w:r>
        <w:rPr>
          <w:rFonts w:hint="eastAsia" w:ascii="仿宋_GB2312" w:hAnsi="仿宋_GB2312" w:eastAsia="仿宋_GB2312" w:cs="仿宋_GB2312"/>
          <w:b w:val="0"/>
          <w:bCs w:val="0"/>
          <w:color w:val="auto"/>
          <w:kern w:val="2"/>
          <w:sz w:val="32"/>
          <w:szCs w:val="32"/>
          <w:highlight w:val="none"/>
          <w:lang w:val="en-US" w:eastAsia="zh-CN" w:bidi="ar-SA"/>
        </w:rPr>
        <w:t>59</w:t>
      </w:r>
      <w:r>
        <w:rPr>
          <w:rFonts w:hint="eastAsia" w:ascii="仿宋_GB2312" w:hAnsi="仿宋_GB2312" w:eastAsia="仿宋_GB2312" w:cs="仿宋_GB2312"/>
          <w:b w:val="0"/>
          <w:bCs w:val="0"/>
          <w:kern w:val="2"/>
          <w:sz w:val="32"/>
          <w:szCs w:val="32"/>
          <w:highlight w:val="none"/>
          <w:lang w:val="en-US" w:eastAsia="zh-CN" w:bidi="ar-SA"/>
        </w:rPr>
        <w:t>周岁（截至2022年8月31日）。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1、近五年主持国家级科研项目或主持省部级科研项目≥1项，且目前可支配科研经费≥30万元。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近五年以第一作者或通讯作者在中国科学院期刊分区1区期刊上发表学术论文≥1篇；或2区发表学术论文≥2篇；或3区、4区、EI检索的本学科学术期刊、《中文核心期刊要目总揽》（北京大学出版社）、《中国科学引文数据库》（CSCD）期刊、《中国社会科学》、《新华文摘》全文发表或全文收录或《人文社会科学引文索引》（CSSCI）所列核心期刊，发表学术论文≥3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3、获省部级科研和教学奖励一等奖的额定完成人；获得省部级以上创新创业奖励成果（排名第一）。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4、聘为我校专业技术岗二级教授（二级主任医师）。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5、聘为我校或其他院校博士研究生导师。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（五）结合学校从事护理学（护理）专业人员的实际情况，充分发挥好护理导师队伍的传帮带作用，对申报护理学（护理）的研究生指导教师，在满足其他遴选条件的前提下，可将学历学位要求适当降低。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六）对于国家重点实验室主任和学术委员会主任、国务院学位委员会学科评议组成员、全国专业学位研究生教育指导委员会成员、国家自然科学基金资助重大项目主持人、“国家杰出青年科学基金”资助者、全国优秀教师、中国医师奖获得者、南丁格尔奖获得者、在某学科领域为国家和自治区做出突出贡献者等，遴选条件和遴选办法与学校另行商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五、申报流程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（一）个人申请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7月20日前，填报个人信息并准备相关证明材料。申请人的学术成果包括主持（参与）课题、发表论文、著作、教材、发明专利、成果转化等。申请人需提供已发表收录论文的检索证明，主持（或参与）科研项目的官方课题立项书或本单位职能部门开具的主持（或参与）课题证明，若非课题主持人还需提供可支配科研经费证明及相关佐证材料复印件（身份证、职称、学位证书、科研立项任务书及可支配经费证明、发表论文、出版教材或著作、科研开发和成果转化证明、获奖证书等）一并送交培养单位审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（二）培养单位申请资格审核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7月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25</w:t>
      </w:r>
      <w:r>
        <w:rPr>
          <w:rFonts w:hint="eastAsia" w:ascii="仿宋_GB2312" w:hAnsi="仿宋_GB2312" w:eastAsia="仿宋_GB2312" w:cs="仿宋_GB2312"/>
          <w:b w:val="0"/>
          <w:bCs w:val="0"/>
          <w:kern w:val="2"/>
          <w:sz w:val="32"/>
          <w:szCs w:val="32"/>
          <w:highlight w:val="none"/>
          <w:lang w:val="en-US" w:eastAsia="zh-CN" w:bidi="ar-SA"/>
        </w:rPr>
        <w:t>日前，各研究生培养单位完成本单位申请人思想政治、师德师风（医德医风）和申请材料的核查工作，将审核通过人员材料提交至各研究生培养单位学位评定分委员会。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（三）学位评定分委员会审议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7月30日前，各学位评定分委员会召开全体委员会议，形成会议决议，将初审合格者的人员名单及相关材料在本单位公示5个工作日，无异议后将相关材料以书面报告形式提交至学校学位评定委员会办公室。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（四）校学位评定委员会办公室形式审查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8月7日前，</w:t>
      </w:r>
      <w:r>
        <w:rPr>
          <w:rFonts w:hint="eastAsia" w:ascii="楷体_GB2312" w:hAnsi="楷体_GB2312" w:eastAsia="楷体_GB2312" w:cs="楷体_GB2312"/>
          <w:b/>
          <w:bCs/>
          <w:kern w:val="2"/>
          <w:sz w:val="32"/>
          <w:szCs w:val="32"/>
          <w:highlight w:val="none"/>
          <w:lang w:val="en-US" w:eastAsia="zh-CN" w:bidi="ar-SA"/>
        </w:rPr>
        <w:t>校学位评定委员会办公室</w:t>
      </w:r>
      <w:r>
        <w:rPr>
          <w:rFonts w:hint="eastAsia" w:ascii="楷体_GB2312" w:hAnsi="楷体_GB2312" w:eastAsia="楷体_GB2312" w:cs="楷体_GB2312"/>
          <w:b w:val="0"/>
          <w:bCs w:val="0"/>
          <w:color w:val="FF0000"/>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研究生院）对申请人员师德师风</w:t>
      </w:r>
      <w:r>
        <w:rPr>
          <w:rFonts w:hint="eastAsia" w:ascii="仿宋_GB2312" w:hAnsi="仿宋_GB2312" w:eastAsia="仿宋_GB2312" w:cs="仿宋_GB2312"/>
          <w:b w:val="0"/>
          <w:bCs w:val="0"/>
          <w:kern w:val="2"/>
          <w:sz w:val="32"/>
          <w:szCs w:val="32"/>
          <w:highlight w:val="none"/>
          <w:lang w:val="en-US" w:eastAsia="zh-CN" w:bidi="ar-SA"/>
        </w:rPr>
        <w:t>（医德医风）</w:t>
      </w:r>
      <w:r>
        <w:rPr>
          <w:rFonts w:hint="eastAsia" w:ascii="仿宋_GB2312" w:hAnsi="仿宋_GB2312" w:eastAsia="仿宋_GB2312" w:cs="仿宋_GB2312"/>
          <w:b w:val="0"/>
          <w:bCs w:val="0"/>
          <w:color w:val="auto"/>
          <w:kern w:val="2"/>
          <w:sz w:val="32"/>
          <w:szCs w:val="32"/>
          <w:highlight w:val="none"/>
          <w:lang w:val="en-US" w:eastAsia="zh-CN" w:bidi="ar-SA"/>
        </w:rPr>
        <w:t>、人事聘用、申请材料和单位审核情况进行形式审查，通过人员材料提交至校学位评定委员会。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（五）校学位评定委员会审定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8月12日前，学校学位评定委员会择期对各单位上报材料进行会议审定并形成决议。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highlight w:val="none"/>
          <w:lang w:val="en-US" w:eastAsia="zh-CN" w:bidi="ar-SA"/>
        </w:rPr>
        <w:t>六、其他说明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（一）申请人各类成果有效期限为五年（2017年7月至2022年7月）。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（二）首次申报硕士研究生指导教师须有两位同行推荐，并参加导师培训后方可上岗招收研究生。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（三）</w:t>
      </w:r>
      <w:r>
        <w:rPr>
          <w:rFonts w:hint="eastAsia" w:ascii="仿宋_GB2312" w:hAnsi="仿宋_GB2312" w:eastAsia="仿宋_GB2312" w:cs="仿宋_GB2312"/>
          <w:b w:val="0"/>
          <w:bCs w:val="0"/>
          <w:color w:val="auto"/>
          <w:kern w:val="2"/>
          <w:sz w:val="32"/>
          <w:szCs w:val="32"/>
          <w:highlight w:val="none"/>
          <w:lang w:val="en-US" w:eastAsia="zh-CN" w:bidi="ar-SA"/>
        </w:rPr>
        <w:t>第二导师遴选由申请第一导师人员所在培养单位进行遴选并审核把关。遴选第二导师者，所从事的专业和研究方向与第一导师相一致，应作为正式批准立项项目的前3名参与者，年龄原则上小于50岁，原则上应具有研究生学历或硕士学位，经学位评定分委会通过后报送至研究生院备案。每名第一导师下只能有1名第二导师申报，且同一名第二导师不得在多名第一导师下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四）申报人员须如实填写相关申报材料，材料如有弄虚作假，经查实后取消本次遴选资格。各研究生培养单位报送材料须由单位负责人或学位分委会主席签字并加盖单位公章。各研究生培养单位需对上报材料的真实性负责，</w:t>
      </w:r>
      <w:r>
        <w:rPr>
          <w:rFonts w:hint="eastAsia" w:ascii="仿宋_GB2312" w:hAnsi="仿宋_GB2312" w:eastAsia="仿宋_GB2312" w:cs="仿宋_GB2312"/>
          <w:kern w:val="2"/>
          <w:sz w:val="32"/>
          <w:szCs w:val="32"/>
          <w:highlight w:val="none"/>
          <w:lang w:val="en-US" w:eastAsia="zh-CN" w:bidi="ar-SA"/>
        </w:rPr>
        <w:t>无签字或无公章视为报送材料无效。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（五）研究生指导教师如果在指导研究生期间达到法定退休年龄，且原单位未进行返聘，学校将自动终止其导师资格，其所带研究生转换其他研究生指导教师培养。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联系人：孟老师，联系电话：0471-6653209，陈老师，联系电话：0471-6653195。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邮  箱：nydyyxwb@163.com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此通知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附件：1.2023年内蒙古医科大学硕士研究生指导教师名额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942" w:firstLineChars="607"/>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分配表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22" w:firstLineChars="507"/>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2.内蒙古医科大学硕士学位授权学科专业目录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5"/>
        <w:textAlignment w:val="auto"/>
        <w:rPr>
          <w:rFonts w:hint="eastAsia" w:ascii="仿宋_GB2312" w:hAnsi="仿宋_GB2312" w:eastAsia="仿宋_GB2312" w:cs="仿宋_GB2312"/>
          <w:b w:val="0"/>
          <w:bCs w:val="0"/>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5"/>
        <w:jc w:val="right"/>
        <w:textAlignment w:val="auto"/>
        <w:rPr>
          <w:rFonts w:hint="eastAsia" w:ascii="仿宋_GB2312" w:hAnsi="仿宋_GB2312" w:eastAsia="仿宋_GB2312" w:cs="仿宋_GB2312"/>
          <w:b w:val="0"/>
          <w:bCs w:val="0"/>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5"/>
        <w:jc w:val="right"/>
        <w:textAlignment w:val="auto"/>
        <w:rPr>
          <w:rFonts w:hint="eastAsia" w:ascii="仿宋_GB2312" w:hAnsi="仿宋_GB2312" w:eastAsia="仿宋_GB2312" w:cs="仿宋_GB2312"/>
          <w:b w:val="0"/>
          <w:bCs w:val="0"/>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5"/>
        <w:jc w:val="center"/>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内蒙古医科大学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5"/>
        <w:jc w:val="center"/>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2022年7月14日</w:t>
      </w:r>
    </w:p>
    <w:p>
      <w:pPr>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jc w:val="both"/>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附件1</w:t>
      </w:r>
    </w:p>
    <w:tbl>
      <w:tblPr>
        <w:tblStyle w:val="6"/>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83"/>
        <w:gridCol w:w="1799"/>
        <w:gridCol w:w="1727"/>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92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长城小标宋体" w:hAnsi="长城小标宋体" w:eastAsia="长城小标宋体" w:cs="长城小标宋体"/>
                <w:b/>
                <w:bCs/>
                <w:i w:val="0"/>
                <w:iCs w:val="0"/>
                <w:color w:val="000000"/>
                <w:kern w:val="0"/>
                <w:sz w:val="36"/>
                <w:szCs w:val="36"/>
                <w:u w:val="none"/>
                <w:lang w:val="en-US" w:eastAsia="zh-CN" w:bidi="ar"/>
              </w:rPr>
              <w:t>2023年硕士研究生指导教师遴选名额分配表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3383" w:type="dxa"/>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培养单位</w:t>
            </w:r>
          </w:p>
        </w:tc>
        <w:tc>
          <w:tcPr>
            <w:tcW w:w="179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学术学位</w:t>
            </w:r>
          </w:p>
        </w:tc>
        <w:tc>
          <w:tcPr>
            <w:tcW w:w="172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专业学位</w:t>
            </w:r>
          </w:p>
        </w:tc>
        <w:tc>
          <w:tcPr>
            <w:tcW w:w="20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001基础医学院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002药学院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003中医学院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004蒙医药学院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005公共卫生学院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006护理学院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007口腔医学院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008第一临床医学院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009第二附属医院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010附属人民医院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011第三临床医学院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012第四附属医院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013内蒙古临床医学院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014中医临床医学院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015蒙医临床医学院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016包头临床医学院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017鄂尔多斯临床医学院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018赤峰临床医学院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019卫生管理学院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020精神卫生学院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021内蒙古妇幼保健院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022巴彦淖尔临床医学院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023通辽临床医学院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33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024第一附属蒙医中医医院</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3383"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179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284</w:t>
            </w:r>
          </w:p>
        </w:tc>
        <w:tc>
          <w:tcPr>
            <w:tcW w:w="172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571</w:t>
            </w:r>
          </w:p>
        </w:tc>
        <w:tc>
          <w:tcPr>
            <w:tcW w:w="201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855</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附件2</w:t>
      </w: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jc w:val="center"/>
        <w:rPr>
          <w:rFonts w:hint="eastAsia" w:ascii="仿宋_GB2312" w:hAnsi="仿宋" w:eastAsia="仿宋_GB2312"/>
          <w:b/>
          <w:bCs/>
          <w:sz w:val="44"/>
          <w:szCs w:val="44"/>
        </w:rPr>
      </w:pPr>
      <w:r>
        <w:rPr>
          <w:rFonts w:hint="eastAsia" w:ascii="长城小标宋体" w:hAnsi="长城小标宋体" w:eastAsia="长城小标宋体" w:cs="长城小标宋体"/>
          <w:b/>
          <w:bCs/>
          <w:sz w:val="44"/>
          <w:szCs w:val="44"/>
        </w:rPr>
        <w:t>内蒙古医科大学硕士学位授权学科专业目录</w:t>
      </w: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360" w:lineRule="auto"/>
        <w:ind w:firstLine="4335"/>
        <w:rPr>
          <w:rFonts w:hint="eastAsia" w:ascii="仿宋_GB2312" w:hAnsi="仿宋" w:eastAsia="仿宋_GB2312"/>
          <w:sz w:val="28"/>
          <w:szCs w:val="28"/>
        </w:rPr>
      </w:pPr>
    </w:p>
    <w:p>
      <w:pPr>
        <w:spacing w:line="600" w:lineRule="exact"/>
        <w:ind w:firstLine="883" w:firstLineChars="200"/>
        <w:jc w:val="center"/>
        <w:rPr>
          <w:rFonts w:hint="eastAsia" w:ascii="仿宋_GB2312" w:hAnsi="仿宋" w:eastAsia="仿宋_GB2312"/>
          <w:bCs/>
          <w:sz w:val="28"/>
          <w:szCs w:val="28"/>
        </w:rPr>
      </w:pPr>
      <w:r>
        <w:rPr>
          <w:rFonts w:hint="eastAsia" w:ascii="仿宋_GB2312" w:hAnsi="仿宋" w:eastAsia="仿宋_GB2312"/>
          <w:b/>
          <w:sz w:val="44"/>
          <w:szCs w:val="44"/>
        </w:rPr>
        <w:t>学术学位</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bCs/>
          <w:sz w:val="28"/>
          <w:szCs w:val="28"/>
        </w:rPr>
      </w:pPr>
    </w:p>
    <w:tbl>
      <w:tblPr>
        <w:tblStyle w:val="6"/>
        <w:tblW w:w="9348" w:type="dxa"/>
        <w:tblInd w:w="0" w:type="dxa"/>
        <w:tblLayout w:type="fixed"/>
        <w:tblCellMar>
          <w:top w:w="0" w:type="dxa"/>
          <w:left w:w="0" w:type="dxa"/>
          <w:bottom w:w="0" w:type="dxa"/>
          <w:right w:w="0" w:type="dxa"/>
        </w:tblCellMar>
      </w:tblPr>
      <w:tblGrid>
        <w:gridCol w:w="2281"/>
        <w:gridCol w:w="39"/>
        <w:gridCol w:w="5630"/>
        <w:gridCol w:w="1245"/>
        <w:gridCol w:w="153"/>
      </w:tblGrid>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_GB2312" w:hAnsi="宋体" w:eastAsia="仿宋_GB2312" w:cs="Arial"/>
                <w:b/>
                <w:bCs/>
                <w:sz w:val="36"/>
                <w:szCs w:val="36"/>
              </w:rPr>
            </w:pPr>
            <w:r>
              <w:rPr>
                <w:rFonts w:hint="eastAsia" w:ascii="仿宋_GB2312" w:hAnsi="宋体" w:eastAsia="仿宋_GB2312" w:cs="Arial"/>
                <w:b/>
                <w:bCs/>
                <w:sz w:val="36"/>
                <w:szCs w:val="36"/>
              </w:rPr>
              <w:t>07</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cs="Arial"/>
                <w:b/>
                <w:bCs/>
                <w:sz w:val="36"/>
                <w:szCs w:val="36"/>
              </w:rPr>
            </w:pPr>
            <w:r>
              <w:rPr>
                <w:rFonts w:hint="eastAsia" w:ascii="仿宋_GB2312" w:hAnsi="宋体" w:eastAsia="仿宋_GB2312" w:cs="Arial"/>
                <w:b/>
                <w:bCs/>
                <w:sz w:val="36"/>
                <w:szCs w:val="36"/>
              </w:rPr>
              <w:t>理学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0710</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生物学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071001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植物学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071002</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动物学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val="en-US" w:eastAsia="zh-CN" w:bidi="ar-SA"/>
              </w:rPr>
            </w:pPr>
            <w:r>
              <w:rPr>
                <w:rFonts w:hint="eastAsia" w:ascii="仿宋_GB2312" w:hAnsi="宋体" w:eastAsia="仿宋_GB2312" w:cs="Arial"/>
                <w:sz w:val="28"/>
                <w:szCs w:val="28"/>
              </w:rPr>
              <w:t>071003</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val="en-US" w:eastAsia="zh-CN" w:bidi="ar-SA"/>
              </w:rPr>
            </w:pPr>
            <w:r>
              <w:rPr>
                <w:rFonts w:hint="eastAsia" w:ascii="仿宋_GB2312" w:hAnsi="宋体" w:eastAsia="仿宋_GB2312" w:cs="Arial"/>
                <w:sz w:val="28"/>
                <w:szCs w:val="28"/>
              </w:rPr>
              <w:t>生理学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071004</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水生生物学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lang w:val="en-US" w:eastAsia="zh-CN"/>
              </w:rPr>
              <w:t>071005</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微生物学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lang w:val="en-US" w:eastAsia="zh-CN"/>
              </w:rPr>
              <w:t>071006</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神经生物学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lang w:val="en-US" w:eastAsia="zh-CN"/>
              </w:rPr>
              <w:t>071007</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遗传学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lang w:val="en-US" w:eastAsia="zh-CN"/>
              </w:rPr>
              <w:t>071008</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发育生物学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lang w:val="en-US" w:eastAsia="zh-CN"/>
              </w:rPr>
              <w:t>071009</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细胞生物学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rPr>
            </w:pPr>
            <w:r>
              <w:rPr>
                <w:rFonts w:hint="eastAsia" w:ascii="仿宋_GB2312" w:hAnsi="宋体" w:eastAsia="仿宋_GB2312" w:cs="Arial"/>
                <w:sz w:val="28"/>
                <w:szCs w:val="28"/>
                <w:lang w:val="en-US" w:eastAsia="zh-CN"/>
              </w:rPr>
              <w:t>071010</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生物化学与分子生物学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rPr>
            </w:pPr>
            <w:r>
              <w:rPr>
                <w:rFonts w:hint="eastAsia" w:ascii="仿宋_GB2312" w:hAnsi="宋体" w:eastAsia="仿宋_GB2312" w:cs="Arial"/>
                <w:sz w:val="28"/>
                <w:szCs w:val="28"/>
                <w:lang w:val="en-US" w:eastAsia="zh-CN"/>
              </w:rPr>
              <w:t>071011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生物物理学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_GB2312" w:hAnsi="宋体" w:eastAsia="仿宋_GB2312" w:cs="Arial"/>
                <w:b/>
                <w:bCs/>
                <w:sz w:val="36"/>
                <w:szCs w:val="36"/>
              </w:rPr>
            </w:pPr>
            <w:r>
              <w:rPr>
                <w:rFonts w:hint="eastAsia" w:ascii="仿宋_GB2312" w:hAnsi="宋体" w:eastAsia="仿宋_GB2312" w:cs="Arial"/>
                <w:b/>
                <w:bCs/>
                <w:sz w:val="36"/>
                <w:szCs w:val="36"/>
              </w:rPr>
              <w:t>10</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cs="Arial"/>
                <w:b/>
                <w:bCs/>
                <w:sz w:val="36"/>
                <w:szCs w:val="36"/>
              </w:rPr>
            </w:pPr>
            <w:r>
              <w:rPr>
                <w:rFonts w:hint="eastAsia" w:ascii="仿宋_GB2312" w:hAnsi="宋体" w:eastAsia="仿宋_GB2312" w:cs="Arial"/>
                <w:b/>
                <w:bCs/>
                <w:sz w:val="36"/>
                <w:szCs w:val="36"/>
              </w:rPr>
              <w:t>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1001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基础医学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100101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人体解剖与组织胚胎学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100102</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免疫学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100103</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病原生物学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100104</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病理学与病理生理学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100105</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法医学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100106</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放射医学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1002</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临床医学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100201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内科学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100202</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儿科学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100203</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老年医学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100204</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神经病学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100205</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精神病与精神卫生学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100206</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皮肤病与性病学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100207</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影像医学与核医学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100208</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临床检验诊断学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100210</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外科学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100211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妇产科学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100212</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眼科学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100213</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耳鼻咽喉科学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100214</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肿瘤学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100215</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康复医学与理疗学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100216</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运动医学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100217</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麻醉学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100218</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急诊医学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1003</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口腔医学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100301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口腔基础医学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val="en-US" w:eastAsia="zh-CN" w:bidi="ar-SA"/>
              </w:rPr>
            </w:pPr>
            <w:r>
              <w:rPr>
                <w:rFonts w:hint="eastAsia" w:ascii="仿宋_GB2312" w:hAnsi="宋体" w:eastAsia="仿宋_GB2312" w:cs="Arial"/>
                <w:sz w:val="28"/>
                <w:szCs w:val="28"/>
              </w:rPr>
              <w:t>100302</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val="en-US" w:eastAsia="zh-CN" w:bidi="ar-SA"/>
              </w:rPr>
            </w:pPr>
            <w:r>
              <w:rPr>
                <w:rFonts w:hint="eastAsia" w:ascii="仿宋_GB2312" w:hAnsi="宋体" w:eastAsia="仿宋_GB2312" w:cs="Arial"/>
                <w:sz w:val="28"/>
                <w:szCs w:val="28"/>
              </w:rPr>
              <w:t>口腔临床医学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1004</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公共卫生与预防医学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100401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流行病与卫生统计学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rPr>
              <w:t>10040</w:t>
            </w:r>
            <w:r>
              <w:rPr>
                <w:rFonts w:hint="eastAsia" w:ascii="仿宋_GB2312" w:hAnsi="宋体" w:eastAsia="仿宋_GB2312" w:cs="Arial"/>
                <w:sz w:val="28"/>
                <w:szCs w:val="28"/>
                <w:lang w:val="en-US" w:eastAsia="zh-CN"/>
              </w:rPr>
              <w:t>2</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劳动卫生与环境卫生学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rPr>
              <w:t>10040</w:t>
            </w:r>
            <w:r>
              <w:rPr>
                <w:rFonts w:hint="eastAsia" w:ascii="仿宋_GB2312" w:hAnsi="宋体" w:eastAsia="仿宋_GB2312" w:cs="Arial"/>
                <w:sz w:val="28"/>
                <w:szCs w:val="28"/>
                <w:lang w:val="en-US" w:eastAsia="zh-CN"/>
              </w:rPr>
              <w:t>3</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营养与食品卫生学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val="en-US" w:eastAsia="zh-CN"/>
              </w:rPr>
            </w:pPr>
            <w:r>
              <w:rPr>
                <w:rFonts w:hint="eastAsia" w:ascii="仿宋_GB2312" w:hAnsi="宋体" w:eastAsia="仿宋_GB2312" w:cs="Arial"/>
                <w:sz w:val="28"/>
                <w:szCs w:val="28"/>
              </w:rPr>
              <w:t>10040</w:t>
            </w:r>
            <w:r>
              <w:rPr>
                <w:rFonts w:hint="eastAsia" w:ascii="仿宋_GB2312" w:hAnsi="宋体" w:eastAsia="仿宋_GB2312" w:cs="Arial"/>
                <w:sz w:val="28"/>
                <w:szCs w:val="28"/>
                <w:lang w:val="en-US" w:eastAsia="zh-CN"/>
              </w:rPr>
              <w:t>4</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儿少卫生与妇幼保健学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rPr>
              <w:t>10040</w:t>
            </w:r>
            <w:r>
              <w:rPr>
                <w:rFonts w:hint="eastAsia" w:ascii="仿宋_GB2312" w:hAnsi="宋体" w:eastAsia="仿宋_GB2312" w:cs="Arial"/>
                <w:sz w:val="28"/>
                <w:szCs w:val="28"/>
                <w:lang w:val="en-US" w:eastAsia="zh-CN"/>
              </w:rPr>
              <w:t>5</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卫生毒理学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rPr>
              <w:t>10040</w:t>
            </w:r>
            <w:r>
              <w:rPr>
                <w:rFonts w:hint="eastAsia" w:ascii="仿宋_GB2312" w:hAnsi="宋体" w:eastAsia="仿宋_GB2312" w:cs="Arial"/>
                <w:sz w:val="28"/>
                <w:szCs w:val="28"/>
                <w:lang w:val="en-US" w:eastAsia="zh-CN"/>
              </w:rPr>
              <w:t>6</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军事预防医学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1005</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中医学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100501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中医基础理论</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100502</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中医临床基础</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100503</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中医医史文献</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100504</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方剂学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100505</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中医诊断学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100506</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中医内科学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100507</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中医外科学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100508</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中医骨伤科学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100509</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中医妇科学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100510</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中医儿科学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100511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中医五官科学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100512</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针灸推拿学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100513</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民族医学（含：藏医学、蒙医学等）</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1007</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药学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100701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药物化学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100702</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药剂学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100703</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生药学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100704</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药物分析学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100705</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微生物与生化药学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100706</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药理学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1008</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中药学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0" w:type="dxa"/>
            <w:bottom w:w="0" w:type="dxa"/>
            <w:right w:w="0" w:type="dxa"/>
          </w:tblCellMar>
        </w:tblPrEx>
        <w:trPr>
          <w:gridAfter w:val="1"/>
          <w:wAfter w:w="153" w:type="dxa"/>
          <w:trHeight w:val="510" w:hRule="atLeast"/>
        </w:trPr>
        <w:tc>
          <w:tcPr>
            <w:tcW w:w="2320" w:type="dxa"/>
            <w:gridSpan w:val="2"/>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1011</w:t>
            </w:r>
          </w:p>
        </w:tc>
        <w:tc>
          <w:tcPr>
            <w:tcW w:w="5630"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护理学</w:t>
            </w:r>
          </w:p>
        </w:tc>
        <w:tc>
          <w:tcPr>
            <w:tcW w:w="1245" w:type="dxa"/>
            <w:tcBorders>
              <w:top w:val="nil"/>
              <w:left w:val="nil"/>
              <w:bottom w:val="nil"/>
              <w:right w:val="nil"/>
            </w:tcBorders>
            <w:noWrap w:val="0"/>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p>
        </w:tc>
      </w:tr>
      <w:tr>
        <w:tblPrEx>
          <w:tblCellMar>
            <w:top w:w="0" w:type="dxa"/>
            <w:left w:w="108" w:type="dxa"/>
            <w:bottom w:w="0" w:type="dxa"/>
            <w:right w:w="108" w:type="dxa"/>
          </w:tblCellMar>
        </w:tblPrEx>
        <w:trPr>
          <w:trHeight w:val="510" w:hRule="atLeast"/>
        </w:trPr>
        <w:tc>
          <w:tcPr>
            <w:tcW w:w="9348" w:type="dxa"/>
            <w:gridSpan w:val="5"/>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华文中宋" w:eastAsia="仿宋_GB2312"/>
                <w:b/>
                <w:sz w:val="36"/>
                <w:szCs w:val="36"/>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华文中宋" w:eastAsia="仿宋_GB2312"/>
                <w:b/>
                <w:sz w:val="36"/>
                <w:szCs w:val="36"/>
              </w:rPr>
            </w:pPr>
            <w:r>
              <w:rPr>
                <w:rFonts w:hint="eastAsia" w:ascii="仿宋_GB2312" w:hAnsi="华文中宋" w:eastAsia="仿宋_GB2312"/>
                <w:b/>
                <w:sz w:val="36"/>
                <w:szCs w:val="36"/>
              </w:rPr>
              <w:t>专业学位授予和人才培养目录</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1051</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eastAsia="仿宋_GB2312"/>
                <w:sz w:val="24"/>
                <w:szCs w:val="24"/>
              </w:rPr>
              <w:t>★</w:t>
            </w:r>
            <w:r>
              <w:rPr>
                <w:rFonts w:hint="eastAsia" w:ascii="仿宋_GB2312" w:hAnsi="宋体" w:eastAsia="仿宋_GB2312" w:cs="Arial"/>
                <w:b/>
                <w:bCs/>
                <w:sz w:val="30"/>
                <w:szCs w:val="30"/>
              </w:rPr>
              <w:t>临床医学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105101</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内科学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105102</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儿科学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105103</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老年医学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105104</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神经病学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105105</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精神病与精神卫生学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105106</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皮肤病与性病学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105107</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急诊医学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105108</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重症医学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105109</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全科医学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105110</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康复医学与理疗学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105111</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外科学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105112</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儿外科学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105113</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骨科学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val="en-US" w:eastAsia="zh-CN" w:bidi="ar-SA"/>
              </w:rPr>
            </w:pPr>
            <w:r>
              <w:rPr>
                <w:rFonts w:hint="eastAsia" w:ascii="仿宋_GB2312" w:hAnsi="宋体" w:eastAsia="仿宋_GB2312" w:cs="Arial"/>
                <w:sz w:val="28"/>
                <w:szCs w:val="28"/>
              </w:rPr>
              <w:t>105114</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val="en-US" w:eastAsia="zh-CN" w:bidi="ar-SA"/>
              </w:rPr>
            </w:pPr>
            <w:r>
              <w:rPr>
                <w:rFonts w:hint="eastAsia" w:ascii="仿宋_GB2312" w:hAnsi="宋体" w:eastAsia="仿宋_GB2312" w:cs="Arial"/>
                <w:sz w:val="28"/>
                <w:szCs w:val="28"/>
              </w:rPr>
              <w:t>运动医学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105115</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妇产科学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105116</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眼科学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105117</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耳鼻咽喉科学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105118</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麻醉学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105119</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临床病理</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rPr>
              <w:t>1051</w:t>
            </w:r>
            <w:r>
              <w:rPr>
                <w:rFonts w:hint="eastAsia" w:ascii="仿宋_GB2312" w:hAnsi="宋体" w:eastAsia="仿宋_GB2312" w:cs="Arial"/>
                <w:sz w:val="28"/>
                <w:szCs w:val="28"/>
                <w:lang w:val="en-US" w:eastAsia="zh-CN"/>
              </w:rPr>
              <w:t>20</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临床检验诊断学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105121</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肿瘤学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rPr>
              <w:t>1051</w:t>
            </w:r>
            <w:r>
              <w:rPr>
                <w:rFonts w:hint="eastAsia" w:ascii="仿宋_GB2312" w:hAnsi="宋体" w:eastAsia="仿宋_GB2312" w:cs="Arial"/>
                <w:sz w:val="28"/>
                <w:szCs w:val="28"/>
                <w:lang w:val="en-US" w:eastAsia="zh-CN"/>
              </w:rPr>
              <w:t>22</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lang w:eastAsia="zh-CN"/>
              </w:rPr>
              <w:t>放射</w:t>
            </w:r>
            <w:r>
              <w:rPr>
                <w:rFonts w:hint="eastAsia" w:ascii="仿宋_GB2312" w:hAnsi="宋体" w:eastAsia="仿宋_GB2312" w:cs="Arial"/>
                <w:sz w:val="28"/>
                <w:szCs w:val="28"/>
              </w:rPr>
              <w:t>肿瘤学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105123</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放射影像学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105124</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超声医学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105125</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rPr>
            </w:pPr>
            <w:r>
              <w:rPr>
                <w:rFonts w:hint="eastAsia" w:ascii="仿宋_GB2312" w:hAnsi="宋体" w:eastAsia="仿宋_GB2312" w:cs="Arial"/>
                <w:sz w:val="28"/>
                <w:szCs w:val="28"/>
              </w:rPr>
              <w:t>核医学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宋体" w:eastAsia="仿宋_GB2312" w:cs="Arial"/>
                <w:sz w:val="28"/>
                <w:szCs w:val="28"/>
                <w:lang w:val="en-US" w:eastAsia="zh-CN"/>
              </w:rPr>
            </w:pPr>
            <w:r>
              <w:rPr>
                <w:rFonts w:hint="eastAsia" w:ascii="仿宋_GB2312" w:hAnsi="宋体" w:eastAsia="仿宋_GB2312" w:cs="Arial"/>
                <w:sz w:val="28"/>
                <w:szCs w:val="28"/>
                <w:lang w:val="en-US" w:eastAsia="zh-CN"/>
              </w:rPr>
              <w:t>105126</w:t>
            </w:r>
          </w:p>
        </w:tc>
        <w:tc>
          <w:tcPr>
            <w:tcW w:w="706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Arial"/>
                <w:sz w:val="28"/>
                <w:szCs w:val="28"/>
                <w:lang w:eastAsia="zh-CN"/>
              </w:rPr>
            </w:pPr>
            <w:r>
              <w:rPr>
                <w:rFonts w:hint="eastAsia" w:ascii="仿宋_GB2312" w:hAnsi="宋体" w:eastAsia="仿宋_GB2312" w:cs="Arial"/>
                <w:sz w:val="28"/>
                <w:szCs w:val="28"/>
                <w:lang w:eastAsia="zh-CN"/>
              </w:rPr>
              <w:t>医学遗传学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1052</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eastAsia="仿宋_GB2312"/>
                <w:sz w:val="24"/>
                <w:szCs w:val="24"/>
              </w:rPr>
              <w:t>★</w:t>
            </w:r>
            <w:r>
              <w:rPr>
                <w:rFonts w:hint="eastAsia" w:ascii="仿宋_GB2312" w:hAnsi="宋体" w:eastAsia="仿宋_GB2312" w:cs="Arial"/>
                <w:b/>
                <w:bCs/>
                <w:sz w:val="30"/>
                <w:szCs w:val="30"/>
              </w:rPr>
              <w:t>口腔医学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lang w:val="en-US" w:eastAsia="zh-CN"/>
              </w:rPr>
            </w:pPr>
            <w:r>
              <w:rPr>
                <w:rFonts w:hint="eastAsia" w:ascii="仿宋_GB2312" w:hAnsi="宋体" w:eastAsia="仿宋_GB2312" w:cs="Arial"/>
                <w:b/>
                <w:bCs/>
                <w:sz w:val="30"/>
                <w:szCs w:val="30"/>
                <w:lang w:val="en-US" w:eastAsia="zh-CN"/>
              </w:rPr>
              <w:t>1053</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lang w:val="en-US" w:eastAsia="zh-CN"/>
              </w:rPr>
            </w:pPr>
            <w:r>
              <w:rPr>
                <w:rFonts w:hint="eastAsia" w:ascii="仿宋_GB2312" w:hAnsi="宋体" w:eastAsia="仿宋_GB2312" w:cs="Arial"/>
                <w:b/>
                <w:bCs/>
                <w:sz w:val="30"/>
                <w:szCs w:val="30"/>
                <w:lang w:val="en-US" w:eastAsia="zh-CN"/>
              </w:rPr>
              <w:t>公共卫生</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1054</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护理</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1055</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药学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b/>
                <w:bCs/>
                <w:sz w:val="30"/>
                <w:szCs w:val="30"/>
              </w:rPr>
              <w:t>1057</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eastAsia="仿宋_GB2312"/>
                <w:sz w:val="24"/>
                <w:szCs w:val="24"/>
              </w:rPr>
              <w:t>★</w:t>
            </w:r>
            <w:r>
              <w:rPr>
                <w:rFonts w:hint="eastAsia" w:ascii="仿宋_GB2312" w:hAnsi="宋体" w:eastAsia="仿宋_GB2312" w:cs="Arial"/>
                <w:b/>
                <w:bCs/>
                <w:sz w:val="30"/>
                <w:szCs w:val="30"/>
              </w:rPr>
              <w:t>中医</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105701</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中医内科学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105702</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中医外科学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105703</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中医骨伤科学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105704</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中医妇科学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105705</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中医儿科学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105706</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中医五官科学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105707</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针灸推拿学</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105708</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30"/>
                <w:szCs w:val="30"/>
              </w:rPr>
            </w:pPr>
            <w:r>
              <w:rPr>
                <w:rFonts w:hint="eastAsia" w:ascii="仿宋_GB2312" w:hAnsi="宋体" w:eastAsia="仿宋_GB2312" w:cs="Arial"/>
                <w:sz w:val="28"/>
                <w:szCs w:val="28"/>
              </w:rPr>
              <w:t>民族医学（含：藏医学、蒙医学等）</w:t>
            </w:r>
          </w:p>
        </w:tc>
      </w:tr>
      <w:tr>
        <w:tblPrEx>
          <w:tblCellMar>
            <w:top w:w="0" w:type="dxa"/>
            <w:left w:w="108" w:type="dxa"/>
            <w:bottom w:w="0" w:type="dxa"/>
            <w:right w:w="108" w:type="dxa"/>
          </w:tblCellMar>
        </w:tblPrEx>
        <w:trPr>
          <w:trHeight w:val="510" w:hRule="atLeast"/>
        </w:trPr>
        <w:tc>
          <w:tcPr>
            <w:tcW w:w="2281"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宋体" w:eastAsia="仿宋_GB2312" w:cs="Arial"/>
                <w:b/>
                <w:bCs/>
                <w:sz w:val="28"/>
                <w:szCs w:val="28"/>
                <w:lang w:val="en-US" w:eastAsia="zh-CN"/>
              </w:rPr>
            </w:pPr>
            <w:r>
              <w:rPr>
                <w:rFonts w:hint="eastAsia" w:ascii="仿宋_GB2312" w:hAnsi="宋体" w:eastAsia="仿宋_GB2312" w:cs="Arial"/>
                <w:b/>
                <w:bCs/>
                <w:sz w:val="28"/>
                <w:szCs w:val="28"/>
                <w:lang w:val="en-US" w:eastAsia="zh-CN"/>
              </w:rPr>
              <w:t>1252</w:t>
            </w:r>
          </w:p>
        </w:tc>
        <w:tc>
          <w:tcPr>
            <w:tcW w:w="7067"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cs="Arial"/>
                <w:b/>
                <w:bCs/>
                <w:sz w:val="28"/>
                <w:szCs w:val="28"/>
                <w:lang w:val="en-US" w:eastAsia="zh-CN"/>
              </w:rPr>
            </w:pPr>
            <w:r>
              <w:rPr>
                <w:rFonts w:hint="eastAsia" w:ascii="仿宋_GB2312" w:hAnsi="宋体" w:eastAsia="仿宋_GB2312" w:cs="Arial"/>
                <w:b/>
                <w:bCs/>
                <w:sz w:val="28"/>
                <w:szCs w:val="28"/>
                <w:lang w:val="en-US" w:eastAsia="zh-CN"/>
              </w:rPr>
              <w:t>公共管理</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黑体" w:hAnsi="黑体" w:eastAsia="黑体" w:cs="黑体"/>
          <w:b w:val="0"/>
          <w:bCs w:val="0"/>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黑体" w:hAnsi="黑体" w:eastAsia="黑体" w:cs="黑体"/>
          <w:b w:val="0"/>
          <w:bCs w:val="0"/>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黑体" w:hAnsi="黑体" w:eastAsia="黑体" w:cs="黑体"/>
          <w:b w:val="0"/>
          <w:bCs w:val="0"/>
          <w:kern w:val="2"/>
          <w:sz w:val="32"/>
          <w:szCs w:val="32"/>
          <w:highlight w:val="none"/>
          <w:lang w:val="en-US" w:eastAsia="zh-CN" w:bidi="ar-SA"/>
        </w:rPr>
      </w:pPr>
    </w:p>
    <w:tbl>
      <w:tblPr>
        <w:tblStyle w:val="6"/>
        <w:tblpPr w:leftFromText="180" w:rightFromText="180" w:vertAnchor="text" w:horzAnchor="page" w:tblpX="1368" w:tblpY="11305"/>
        <w:tblOverlap w:val="never"/>
        <w:tblW w:w="9276"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665"/>
        <w:gridCol w:w="3611"/>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5665" w:type="dxa"/>
            <w:noWrap w:val="0"/>
            <w:vAlign w:val="top"/>
          </w:tcPr>
          <w:p>
            <w:pPr>
              <w:ind w:firstLine="280" w:firstLineChars="100"/>
              <w:rPr>
                <w:highlight w:val="none"/>
              </w:rPr>
            </w:pPr>
            <w:r>
              <w:rPr>
                <w:rFonts w:hint="eastAsia" w:ascii="仿宋_GB2312" w:hAnsi="仿宋" w:eastAsia="仿宋_GB2312"/>
                <w:sz w:val="28"/>
                <w:szCs w:val="28"/>
                <w:highlight w:val="none"/>
              </w:rPr>
              <w:t>抄送：学校党政领导。</w:t>
            </w:r>
          </w:p>
        </w:tc>
        <w:tc>
          <w:tcPr>
            <w:tcW w:w="3611" w:type="dxa"/>
            <w:noWrap w:val="0"/>
            <w:vAlign w:val="top"/>
          </w:tcPr>
          <w:p>
            <w:pPr>
              <w:rPr>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5665" w:type="dxa"/>
            <w:noWrap w:val="0"/>
            <w:vAlign w:val="top"/>
          </w:tcPr>
          <w:p>
            <w:pPr>
              <w:ind w:firstLine="280" w:firstLineChars="100"/>
              <w:rPr>
                <w:rFonts w:hint="eastAsia" w:eastAsia="仿宋_GB2312"/>
                <w:highlight w:val="none"/>
                <w:lang w:eastAsia="zh-CN"/>
              </w:rPr>
            </w:pPr>
            <w:r>
              <w:rPr>
                <w:rFonts w:hint="eastAsia" w:ascii="仿宋_GB2312" w:hAnsi="仿宋" w:eastAsia="仿宋_GB2312"/>
                <w:sz w:val="28"/>
                <w:szCs w:val="28"/>
                <w:highlight w:val="none"/>
              </w:rPr>
              <w:t>内蒙古医科大学党政办公室、</w:t>
            </w:r>
            <w:r>
              <w:rPr>
                <w:rFonts w:hint="eastAsia" w:ascii="仿宋_GB2312" w:hAnsi="仿宋" w:eastAsia="仿宋_GB2312"/>
                <w:sz w:val="28"/>
                <w:szCs w:val="28"/>
                <w:highlight w:val="none"/>
                <w:lang w:eastAsia="zh-CN"/>
              </w:rPr>
              <w:t>研究生院</w:t>
            </w:r>
          </w:p>
        </w:tc>
        <w:tc>
          <w:tcPr>
            <w:tcW w:w="3611" w:type="dxa"/>
            <w:noWrap w:val="0"/>
            <w:vAlign w:val="top"/>
          </w:tcPr>
          <w:p>
            <w:pPr>
              <w:jc w:val="center"/>
              <w:rPr>
                <w:rFonts w:hint="default" w:eastAsia="仿宋_GB2312"/>
                <w:highlight w:val="none"/>
                <w:lang w:val="en-US" w:eastAsia="zh-CN"/>
              </w:rPr>
            </w:pPr>
            <w:r>
              <w:rPr>
                <w:rFonts w:hint="eastAsia" w:ascii="仿宋_GB2312" w:eastAsia="仿宋_GB2312"/>
                <w:sz w:val="28"/>
                <w:szCs w:val="28"/>
                <w:highlight w:val="none"/>
              </w:rPr>
              <w:t xml:space="preserve"> </w:t>
            </w:r>
            <w:r>
              <w:rPr>
                <w:rFonts w:hint="eastAsia" w:ascii="仿宋_GB2312" w:eastAsia="仿宋_GB2312"/>
                <w:sz w:val="28"/>
                <w:szCs w:val="28"/>
                <w:highlight w:val="none"/>
                <w:lang w:val="en-US" w:eastAsia="zh-CN"/>
              </w:rPr>
              <w:t xml:space="preserve"> 2022</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val="en-US" w:eastAsia="zh-CN"/>
              </w:rPr>
              <w:t>7</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14</w:t>
            </w:r>
            <w:r>
              <w:rPr>
                <w:rFonts w:hint="eastAsia" w:ascii="仿宋_GB2312" w:hAnsi="仿宋" w:eastAsia="仿宋_GB2312"/>
                <w:sz w:val="28"/>
                <w:szCs w:val="28"/>
                <w:highlight w:val="none"/>
              </w:rPr>
              <w:t>日印</w:t>
            </w:r>
            <w:r>
              <w:rPr>
                <w:rFonts w:hint="eastAsia" w:ascii="仿宋_GB2312" w:hAnsi="仿宋" w:eastAsia="仿宋_GB2312"/>
                <w:sz w:val="28"/>
                <w:szCs w:val="28"/>
                <w:highlight w:val="none"/>
                <w:lang w:val="en-US" w:eastAsia="zh-CN"/>
              </w:rPr>
              <w:t xml:space="preserve">发  </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黑体" w:hAnsi="黑体" w:eastAsia="黑体" w:cs="黑体"/>
          <w:b w:val="0"/>
          <w:bCs w:val="0"/>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黑体" w:hAnsi="黑体" w:eastAsia="黑体" w:cs="黑体"/>
          <w:b w:val="0"/>
          <w:bCs w:val="0"/>
          <w:kern w:val="2"/>
          <w:sz w:val="32"/>
          <w:szCs w:val="32"/>
          <w:highlight w:val="none"/>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2010609010101010101"/>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MDVhNzBhNzE3YmQ2ZjkxY2RiOTRjNjgxNjlkYWMifQ=="/>
  </w:docVars>
  <w:rsids>
    <w:rsidRoot w:val="00000000"/>
    <w:rsid w:val="00BA513B"/>
    <w:rsid w:val="013A735B"/>
    <w:rsid w:val="01DA0C89"/>
    <w:rsid w:val="01E95943"/>
    <w:rsid w:val="029702A0"/>
    <w:rsid w:val="02B61A28"/>
    <w:rsid w:val="035937A7"/>
    <w:rsid w:val="03845571"/>
    <w:rsid w:val="03A04F32"/>
    <w:rsid w:val="03F205BB"/>
    <w:rsid w:val="050A2394"/>
    <w:rsid w:val="054313E2"/>
    <w:rsid w:val="054364BD"/>
    <w:rsid w:val="05DD72BF"/>
    <w:rsid w:val="07BF52EF"/>
    <w:rsid w:val="08443DE4"/>
    <w:rsid w:val="089112ED"/>
    <w:rsid w:val="08D13634"/>
    <w:rsid w:val="09456771"/>
    <w:rsid w:val="098552F6"/>
    <w:rsid w:val="09A374F6"/>
    <w:rsid w:val="0A516F86"/>
    <w:rsid w:val="0AB35D19"/>
    <w:rsid w:val="0AFD2C6A"/>
    <w:rsid w:val="0B2533B5"/>
    <w:rsid w:val="0B2614FF"/>
    <w:rsid w:val="0BB35223"/>
    <w:rsid w:val="0BE24D6B"/>
    <w:rsid w:val="0BE4570D"/>
    <w:rsid w:val="0C942FFD"/>
    <w:rsid w:val="0CEC743A"/>
    <w:rsid w:val="0D6945E7"/>
    <w:rsid w:val="0D6F40CE"/>
    <w:rsid w:val="0E9438E5"/>
    <w:rsid w:val="0EE455CE"/>
    <w:rsid w:val="0EE5692C"/>
    <w:rsid w:val="0EEC70D9"/>
    <w:rsid w:val="0FC41FA8"/>
    <w:rsid w:val="10A81399"/>
    <w:rsid w:val="10C15949"/>
    <w:rsid w:val="11000A34"/>
    <w:rsid w:val="12121331"/>
    <w:rsid w:val="127A6021"/>
    <w:rsid w:val="12EC4826"/>
    <w:rsid w:val="132D618B"/>
    <w:rsid w:val="13850DDB"/>
    <w:rsid w:val="13EC7D20"/>
    <w:rsid w:val="13F22FBD"/>
    <w:rsid w:val="148166BA"/>
    <w:rsid w:val="15995545"/>
    <w:rsid w:val="16FA5342"/>
    <w:rsid w:val="18222CDC"/>
    <w:rsid w:val="18AB1F57"/>
    <w:rsid w:val="19D914CA"/>
    <w:rsid w:val="1A3F53E4"/>
    <w:rsid w:val="1A520076"/>
    <w:rsid w:val="1ADA3D88"/>
    <w:rsid w:val="1AE5292A"/>
    <w:rsid w:val="1AE84720"/>
    <w:rsid w:val="1B043BA1"/>
    <w:rsid w:val="1BAD1EE0"/>
    <w:rsid w:val="1BB75EA5"/>
    <w:rsid w:val="1C16002F"/>
    <w:rsid w:val="1C853BB7"/>
    <w:rsid w:val="1D0D1B75"/>
    <w:rsid w:val="1D4E55A7"/>
    <w:rsid w:val="1D5C4168"/>
    <w:rsid w:val="1E816369"/>
    <w:rsid w:val="1EC53F2F"/>
    <w:rsid w:val="202076CF"/>
    <w:rsid w:val="202C40EB"/>
    <w:rsid w:val="20BA7905"/>
    <w:rsid w:val="20F712ED"/>
    <w:rsid w:val="216B029C"/>
    <w:rsid w:val="218D2B42"/>
    <w:rsid w:val="222C6E2E"/>
    <w:rsid w:val="22B97967"/>
    <w:rsid w:val="231A3347"/>
    <w:rsid w:val="23234270"/>
    <w:rsid w:val="23CF10C1"/>
    <w:rsid w:val="23D26F32"/>
    <w:rsid w:val="24677F37"/>
    <w:rsid w:val="24F42ED8"/>
    <w:rsid w:val="25B37BF3"/>
    <w:rsid w:val="25F50CB6"/>
    <w:rsid w:val="26317CE6"/>
    <w:rsid w:val="26602042"/>
    <w:rsid w:val="26B45DEE"/>
    <w:rsid w:val="273C631B"/>
    <w:rsid w:val="27462F92"/>
    <w:rsid w:val="27DB117F"/>
    <w:rsid w:val="283E4B96"/>
    <w:rsid w:val="28610F77"/>
    <w:rsid w:val="288F719F"/>
    <w:rsid w:val="28A569C3"/>
    <w:rsid w:val="28C876DE"/>
    <w:rsid w:val="29916167"/>
    <w:rsid w:val="29995B96"/>
    <w:rsid w:val="29A34C6D"/>
    <w:rsid w:val="29A37085"/>
    <w:rsid w:val="2A00590E"/>
    <w:rsid w:val="2A5D0B00"/>
    <w:rsid w:val="2A882997"/>
    <w:rsid w:val="2B1F203D"/>
    <w:rsid w:val="2BFA5CD2"/>
    <w:rsid w:val="2C11611D"/>
    <w:rsid w:val="2DB34AC8"/>
    <w:rsid w:val="2DD0554B"/>
    <w:rsid w:val="2F0C1F73"/>
    <w:rsid w:val="2FEA5603"/>
    <w:rsid w:val="300801CE"/>
    <w:rsid w:val="31520770"/>
    <w:rsid w:val="319A0963"/>
    <w:rsid w:val="31B55D7F"/>
    <w:rsid w:val="31DB36CB"/>
    <w:rsid w:val="3246736A"/>
    <w:rsid w:val="32793D18"/>
    <w:rsid w:val="328B624F"/>
    <w:rsid w:val="32E4633A"/>
    <w:rsid w:val="32F1060B"/>
    <w:rsid w:val="337E6321"/>
    <w:rsid w:val="350841BA"/>
    <w:rsid w:val="360F7B72"/>
    <w:rsid w:val="36356EAC"/>
    <w:rsid w:val="36F63EFB"/>
    <w:rsid w:val="37865C12"/>
    <w:rsid w:val="37A4078E"/>
    <w:rsid w:val="37E66942"/>
    <w:rsid w:val="3AA77894"/>
    <w:rsid w:val="3AD86CB8"/>
    <w:rsid w:val="3AFA0DF0"/>
    <w:rsid w:val="3BA605F0"/>
    <w:rsid w:val="3BAC761A"/>
    <w:rsid w:val="3C1C47D9"/>
    <w:rsid w:val="3CA20DAD"/>
    <w:rsid w:val="3D4A1818"/>
    <w:rsid w:val="3D8D00FB"/>
    <w:rsid w:val="3DFB6D81"/>
    <w:rsid w:val="3E587BDC"/>
    <w:rsid w:val="3E864749"/>
    <w:rsid w:val="3EE805E7"/>
    <w:rsid w:val="3FC07FD8"/>
    <w:rsid w:val="3FFF47B3"/>
    <w:rsid w:val="4029622D"/>
    <w:rsid w:val="402D7572"/>
    <w:rsid w:val="41FD4D22"/>
    <w:rsid w:val="420A434C"/>
    <w:rsid w:val="422E137F"/>
    <w:rsid w:val="428E1E1E"/>
    <w:rsid w:val="42A27846"/>
    <w:rsid w:val="42BC3F8A"/>
    <w:rsid w:val="42D42149"/>
    <w:rsid w:val="44F248E6"/>
    <w:rsid w:val="459C6CD8"/>
    <w:rsid w:val="45D25C93"/>
    <w:rsid w:val="47370CD6"/>
    <w:rsid w:val="48382F58"/>
    <w:rsid w:val="48B95963"/>
    <w:rsid w:val="48CE77CA"/>
    <w:rsid w:val="49342455"/>
    <w:rsid w:val="4A3634C7"/>
    <w:rsid w:val="4A563D8F"/>
    <w:rsid w:val="4AC00FE3"/>
    <w:rsid w:val="4AC87061"/>
    <w:rsid w:val="4AE61C2A"/>
    <w:rsid w:val="4B6A4D39"/>
    <w:rsid w:val="4CF179AC"/>
    <w:rsid w:val="4D616AAD"/>
    <w:rsid w:val="4DE50341"/>
    <w:rsid w:val="4E04568A"/>
    <w:rsid w:val="4EA77410"/>
    <w:rsid w:val="508F689B"/>
    <w:rsid w:val="50F91586"/>
    <w:rsid w:val="526861E8"/>
    <w:rsid w:val="527E5A0B"/>
    <w:rsid w:val="531541BE"/>
    <w:rsid w:val="5334431C"/>
    <w:rsid w:val="534715CF"/>
    <w:rsid w:val="53AB0DF7"/>
    <w:rsid w:val="53DA4EC3"/>
    <w:rsid w:val="53DB44BA"/>
    <w:rsid w:val="543A4B54"/>
    <w:rsid w:val="5488491F"/>
    <w:rsid w:val="548F1FEB"/>
    <w:rsid w:val="558422A5"/>
    <w:rsid w:val="55BF00A4"/>
    <w:rsid w:val="58020E8D"/>
    <w:rsid w:val="581C7EEB"/>
    <w:rsid w:val="584832A1"/>
    <w:rsid w:val="58E51475"/>
    <w:rsid w:val="58F126FB"/>
    <w:rsid w:val="5A507C47"/>
    <w:rsid w:val="5BD33FA1"/>
    <w:rsid w:val="5BEA159D"/>
    <w:rsid w:val="5C09789D"/>
    <w:rsid w:val="5C7B50CD"/>
    <w:rsid w:val="5D7013EE"/>
    <w:rsid w:val="5D7A60E7"/>
    <w:rsid w:val="5D9F70FB"/>
    <w:rsid w:val="5EB52EB2"/>
    <w:rsid w:val="5F5E400B"/>
    <w:rsid w:val="5FCB6008"/>
    <w:rsid w:val="60437F12"/>
    <w:rsid w:val="639130C5"/>
    <w:rsid w:val="645760BC"/>
    <w:rsid w:val="64A2190F"/>
    <w:rsid w:val="64C644FC"/>
    <w:rsid w:val="64D23423"/>
    <w:rsid w:val="66173D55"/>
    <w:rsid w:val="663C1A42"/>
    <w:rsid w:val="666F1DE3"/>
    <w:rsid w:val="667737FA"/>
    <w:rsid w:val="667937B0"/>
    <w:rsid w:val="668533B4"/>
    <w:rsid w:val="66DC3975"/>
    <w:rsid w:val="6761735D"/>
    <w:rsid w:val="68466B73"/>
    <w:rsid w:val="691E11D7"/>
    <w:rsid w:val="697817F2"/>
    <w:rsid w:val="697E21F1"/>
    <w:rsid w:val="6A982BE2"/>
    <w:rsid w:val="6B0D77C1"/>
    <w:rsid w:val="6B1B411A"/>
    <w:rsid w:val="6B4D616C"/>
    <w:rsid w:val="6B6A0DCB"/>
    <w:rsid w:val="6BC52A87"/>
    <w:rsid w:val="6BCA186A"/>
    <w:rsid w:val="6BEB1F0C"/>
    <w:rsid w:val="6C1A1ACA"/>
    <w:rsid w:val="6CAD15A8"/>
    <w:rsid w:val="6D887321"/>
    <w:rsid w:val="6F257B57"/>
    <w:rsid w:val="6F282B2F"/>
    <w:rsid w:val="6F376231"/>
    <w:rsid w:val="6F9B2EC1"/>
    <w:rsid w:val="70D6480D"/>
    <w:rsid w:val="70DA7A82"/>
    <w:rsid w:val="70EE28EF"/>
    <w:rsid w:val="71184E25"/>
    <w:rsid w:val="716624A8"/>
    <w:rsid w:val="71E42F57"/>
    <w:rsid w:val="72115272"/>
    <w:rsid w:val="7247518C"/>
    <w:rsid w:val="72583FC5"/>
    <w:rsid w:val="736B748E"/>
    <w:rsid w:val="74E25E76"/>
    <w:rsid w:val="754861D6"/>
    <w:rsid w:val="75903BE4"/>
    <w:rsid w:val="760C0ED1"/>
    <w:rsid w:val="761533B9"/>
    <w:rsid w:val="76427412"/>
    <w:rsid w:val="77264B25"/>
    <w:rsid w:val="7763329E"/>
    <w:rsid w:val="779E1C6F"/>
    <w:rsid w:val="783F08CF"/>
    <w:rsid w:val="78863785"/>
    <w:rsid w:val="78EC679E"/>
    <w:rsid w:val="78EC70FB"/>
    <w:rsid w:val="797D1A21"/>
    <w:rsid w:val="798B4889"/>
    <w:rsid w:val="7A472BFC"/>
    <w:rsid w:val="7A680BCB"/>
    <w:rsid w:val="7AE82F61"/>
    <w:rsid w:val="7C2A25DC"/>
    <w:rsid w:val="7CD73DE6"/>
    <w:rsid w:val="7E0724A9"/>
    <w:rsid w:val="7E1954B6"/>
    <w:rsid w:val="7E551467"/>
    <w:rsid w:val="7E843123"/>
    <w:rsid w:val="7E884818"/>
    <w:rsid w:val="7F127906"/>
    <w:rsid w:val="7FA5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4848</Words>
  <Characters>5612</Characters>
  <Lines>0</Lines>
  <Paragraphs>0</Paragraphs>
  <TotalTime>4</TotalTime>
  <ScaleCrop>false</ScaleCrop>
  <LinksUpToDate>false</LinksUpToDate>
  <CharactersWithSpaces>5658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步步高</cp:lastModifiedBy>
  <cp:lastPrinted>2022-07-15T00:53:00Z</cp:lastPrinted>
  <dcterms:modified xsi:type="dcterms:W3CDTF">2022-07-15T08:45:39Z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9C353225CF374F0186B0F8BB960080BF</vt:lpwstr>
  </property>
</Properties>
</file>