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  <w:r>
        <w:rPr>
          <w:rFonts w:hint="default" w:ascii="宋体" w:hAnsi="宋体" w:cs="宋体" w:eastAsiaTheme="minorEastAsia"/>
          <w:b/>
          <w:bCs/>
          <w:snapToGrid/>
          <w:kern w:val="2"/>
          <w:sz w:val="44"/>
          <w:szCs w:val="4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-2898140</wp:posOffset>
            </wp:positionV>
            <wp:extent cx="7577455" cy="10725785"/>
            <wp:effectExtent l="0" t="0" r="4445" b="18415"/>
            <wp:wrapNone/>
            <wp:docPr id="2" name="图片 2" descr="文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内医团发〔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jc w:val="center"/>
        <w:rPr>
          <w:rFonts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auto"/>
          <w:sz w:val="44"/>
          <w:szCs w:val="44"/>
        </w:rPr>
        <w:t>关于开展内蒙古医科大学2023年“英才培育”项目申报的通知</w:t>
      </w:r>
    </w:p>
    <w:p>
      <w:pPr>
        <w:jc w:val="center"/>
        <w:rPr>
          <w:rFonts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/>
        <w:jc w:val="both"/>
        <w:rPr>
          <w:rFonts w:ascii="长城小标宋体" w:hAnsi="长城小标宋体" w:eastAsia="长城小标宋体" w:cs="长城小标宋体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各单位：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深入贯彻党的二十大精神，充分发挥共青团的组织优势，进一步引导广大学生努力培养科学精神和态度，营造更为浓厚的学术研究之风、科技创新之风、敦品励学之风。按照《内蒙古医科大学大学生科技创新活动实施方案》和《内蒙古医科大学大学生科技创新“英才培育”项目管理办法》，学校决定开展2023年大学生科技创新“英才培育”项目申报工作(以下简称“英才培育”项目)，相关事宜通知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一、申报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类别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申报的项目应当具有一定的科学性、创新性和实用性。鼓励学生独立提出研究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设想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，严禁学生以指导教师已立项、在研、结题项目直接重复申报。申报类别主要包括：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1.学生独立提出的针对某一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专业科学问题解决方案、某一学科的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创造、设计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2.教师科研与技术开发(服务)课题中的子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或企事业单位的委托项目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需提供相关证明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结合“习近平新时代中国特色社会主义思想和党的二十大精神”等学生思想政治教育类;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结合“内医大精神”等文创类创业项目;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开放实验室、实训或实习基地中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的创新性实验与训练项目；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弘扬社会主义核心价值观为主题的社科类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调研项目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社会热点问题研究；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有研究与实践价值的项目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二、申报数量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各学院申报项目数不低于学院学生总数2%，每位学生限报1项，指导教师原则上指导项目不超过2项。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三、申报条件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1.每个项目设负责人1名，项目负责人必须是大学二年级以上在校本专科生，品学兼优、成绩优良，具有一定的创新意识和研究探索精神，善于独立思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。项目负责人应具有较强的研究能力以及完成项目所要求的组织、管理和协调能力；参加过大学生科技项目或竞赛的同学优先立项。（2022年“英才培育”项目负责人不可作为项目负责人参加此次申报）；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2.项目团队成员应为3-10人(至少1名大学一年级学生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，且有明确分工； 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3.项目实施指导教师制。每项目设指导教师1-2名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指导教师原则上应具有讲师及以上职称或硕士及以上学位，并具备一定科学研究工作经历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,有在研项目和课题经费者优先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4.项目研究周期原则上为1年，毕业年级学生申报项目须在毕业前完成；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5.参加过国家、自治区级大学生“互联网+”、“创青春”等学术科技、创新创业大赛的学生申报项目优先立项；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6.已立项2023年大学生“培优计划”项目课题人员不在本次申报范围。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7.所有申报项目均需填写《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英才培育”项目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材料真实性声明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》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四、项目分类及资助额度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重点项目(10项)：5000元；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一般项目(50项)：3000元；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学院资助项目(根据学院经费确定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数量):1000-3000元。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项目支出分类：办公用品（图书）不少于15%，不多于30%，其他公用（宣传手册、展板）不少于15%，专用材料（试剂、实验材料等）不多于70%，本项目不设劳务费。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五、项目周期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1.申报截止日期：2023年3月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日之前；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2.评审立项：2023年4月；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3.项目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指导教师需在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上下半年各开展一次项目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进展研讨会暨培训会（宣讲会）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4.项目阶段性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核：研究期内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9月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开展1次中期考核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需填写中期考核表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5.项目结题答辩：2024年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月开展项目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题答辩。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六、申报流程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1.申报形式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本次申报工作采用网上申报与书面材料申报相结合的形式。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2.申报方式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(1)网上申报网址：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"http://cxcy.immu.edu.cn" </w:instrText>
      </w:r>
      <w:r>
        <w:rPr>
          <w:color w:val="auto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http://cxcy.immu.edu.cn</w:t>
      </w:r>
      <w:r>
        <w:rPr>
          <w:rStyle w:val="12"/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（开放时间：2023年3月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日—2023年3月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日）；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(2)书面材料申报：各学院团总支将申报书一式两份、项目申报汇总表1份于2023年3月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日前上报学校团委科技实践部(精诚楼414室)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七、立项评审、公示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学校团委组织相关专家进行统一评审，拟立项项目在内蒙古医科大学团委网站、“内医青年家园”微信平台、内蒙古医科大学大学生科技创新平台上公示(不少于5个工作日)。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八、工作要求</w:t>
      </w:r>
    </w:p>
    <w:p>
      <w:pPr>
        <w:pStyle w:val="5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各学院应高度重视大学生科研创新实践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成果转化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专门研究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并给予一定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经费支持。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本项目由各学院团总支统一管理，申报、立项、结题等相关材料由各学院团总支统一办理。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.指导教师在项目实施过程中应认真做好各阶段的指导工作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按时填写项目指导老师工作手册，项目经费使用要侧重于学生学习、培训、科研活动、科研能力培养方面。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项目负责人在项目实施过程中应认真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查阅资料、开展调查研究、整理数据、撰写文章、填写原始记录表。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本项目不收取任何评审费及鉴定费。</w:t>
      </w: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128905</wp:posOffset>
            </wp:positionV>
            <wp:extent cx="1475740" cy="1475740"/>
            <wp:effectExtent l="0" t="0" r="10160" b="10160"/>
            <wp:wrapNone/>
            <wp:docPr id="3" name="图片 3" descr="团委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团委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/>
        <w:jc w:val="right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共青团内蒙古医科大学委员会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2023年3月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</w:t>
      </w: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left="150" w:right="15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Autospacing="0" w:line="368" w:lineRule="atLeast"/>
        <w:ind w:right="15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</w:p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  <w:u w:val="thick"/>
        </w:rPr>
      </w:pPr>
    </w:p>
    <w:p>
      <w:pPr>
        <w:spacing w:line="600" w:lineRule="exac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  <w:u w:val="thick"/>
        </w:rPr>
        <w:t xml:space="preserve">                                             </w:t>
      </w:r>
      <w:r>
        <w:rPr>
          <w:rFonts w:ascii="仿宋_GB2312" w:hAnsi="宋体" w:eastAsia="仿宋_GB2312" w:cs="宋体"/>
          <w:sz w:val="32"/>
          <w:szCs w:val="32"/>
          <w:u w:val="thick"/>
        </w:rPr>
        <w:t xml:space="preserve">                                 </w:t>
      </w:r>
      <w:r>
        <w:rPr>
          <w:rFonts w:hint="eastAsia" w:ascii="仿宋_GB2312" w:hAnsi="宋体" w:eastAsia="仿宋_GB2312" w:cs="宋体"/>
          <w:sz w:val="32"/>
          <w:szCs w:val="32"/>
          <w:u w:val="thick"/>
        </w:rPr>
        <w:t xml:space="preserve"> </w:t>
      </w:r>
      <w:r>
        <w:rPr>
          <w:rFonts w:ascii="仿宋_GB2312" w:hAnsi="宋体" w:eastAsia="仿宋_GB2312" w:cs="宋体"/>
          <w:sz w:val="32"/>
          <w:szCs w:val="32"/>
          <w:u w:val="thick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</w:p>
    <w:p>
      <w:pPr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>抄送: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学校党委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副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书记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              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                       </w:t>
      </w:r>
    </w:p>
    <w:p>
      <w:pPr>
        <w:spacing w:line="600" w:lineRule="exact"/>
      </w:pPr>
      <w:r>
        <w:rPr>
          <w:rFonts w:hint="eastAsia" w:ascii="仿宋_GB2312" w:hAnsi="宋体" w:eastAsia="仿宋_GB2312" w:cs="宋体"/>
          <w:sz w:val="32"/>
          <w:szCs w:val="32"/>
          <w:u w:val="thick"/>
        </w:rPr>
        <w:t xml:space="preserve">共青团内蒙古医科大学委员会      </w:t>
      </w:r>
      <w:r>
        <w:rPr>
          <w:rFonts w:ascii="仿宋_GB2312" w:hAnsi="宋体" w:eastAsia="仿宋_GB2312" w:cs="宋体"/>
          <w:sz w:val="32"/>
          <w:szCs w:val="32"/>
          <w:u w:val="thick"/>
        </w:rPr>
        <w:t>20</w:t>
      </w:r>
      <w:r>
        <w:rPr>
          <w:rFonts w:hint="eastAsia" w:ascii="仿宋_GB2312" w:hAnsi="宋体" w:eastAsia="仿宋_GB2312" w:cs="宋体"/>
          <w:sz w:val="32"/>
          <w:szCs w:val="32"/>
          <w:u w:val="thick"/>
        </w:rPr>
        <w:t>2</w:t>
      </w:r>
      <w:r>
        <w:rPr>
          <w:rFonts w:hint="eastAsia" w:ascii="仿宋_GB2312" w:hAnsi="宋体" w:eastAsia="仿宋_GB2312" w:cs="宋体"/>
          <w:sz w:val="32"/>
          <w:szCs w:val="32"/>
          <w:u w:val="thick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u w:val="thick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u w:val="thick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u w:val="thick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thick"/>
          <w:lang w:val="en-US" w:eastAsia="zh-CN"/>
        </w:rPr>
        <w:t xml:space="preserve">17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jk1NTIwZTA0YTM3MmMwNWZlYjhhZTQxNzI4OTEifQ=="/>
  </w:docVars>
  <w:rsids>
    <w:rsidRoot w:val="40C66CD8"/>
    <w:rsid w:val="06B505BB"/>
    <w:rsid w:val="077010BF"/>
    <w:rsid w:val="095133BC"/>
    <w:rsid w:val="10603348"/>
    <w:rsid w:val="1212187F"/>
    <w:rsid w:val="17600017"/>
    <w:rsid w:val="1C7968C9"/>
    <w:rsid w:val="1EEE27B3"/>
    <w:rsid w:val="297A2D11"/>
    <w:rsid w:val="2E3E60D7"/>
    <w:rsid w:val="3B5F0B78"/>
    <w:rsid w:val="40C66CD8"/>
    <w:rsid w:val="444B0A5F"/>
    <w:rsid w:val="46E86374"/>
    <w:rsid w:val="482953FC"/>
    <w:rsid w:val="48FE2C03"/>
    <w:rsid w:val="4BB705C2"/>
    <w:rsid w:val="4DE26ECF"/>
    <w:rsid w:val="5F2F72D1"/>
    <w:rsid w:val="5F792B78"/>
    <w:rsid w:val="639A680C"/>
    <w:rsid w:val="661C7860"/>
    <w:rsid w:val="675C4047"/>
    <w:rsid w:val="6D2109ED"/>
    <w:rsid w:val="6D62140D"/>
    <w:rsid w:val="730F451A"/>
    <w:rsid w:val="736A3EE8"/>
    <w:rsid w:val="73FE2F93"/>
    <w:rsid w:val="783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hint="eastAsia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1728</Words>
  <Characters>1860</Characters>
  <Lines>0</Lines>
  <Paragraphs>0</Paragraphs>
  <TotalTime>11</TotalTime>
  <ScaleCrop>false</ScaleCrop>
  <LinksUpToDate>false</LinksUpToDate>
  <CharactersWithSpaces>2031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2023-03-15T03:30:00Z</dcterms:created>
  <dc:creator>admin</dc:creator>
  <cp:lastModifiedBy>李广</cp:lastModifiedBy>
  <dcterms:modified xsi:type="dcterms:W3CDTF">2023-03-22T03:43:05Z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B31917C685A545B5AC0681B7E97DFF21</vt:lpwstr>
  </property>
</Properties>
</file>